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3CCEC" w14:textId="77777777" w:rsidR="00B14165" w:rsidRPr="00B14165" w:rsidRDefault="00B14165" w:rsidP="00B14165">
      <w:pPr>
        <w:spacing w:after="0" w:line="240" w:lineRule="auto"/>
        <w:ind w:hanging="2"/>
        <w:jc w:val="center"/>
        <w:rPr>
          <w:rFonts w:ascii="Arial" w:eastAsia="Arial" w:hAnsi="Arial" w:cs="Arial"/>
          <w:b/>
          <w:bCs/>
          <w:sz w:val="24"/>
          <w:szCs w:val="24"/>
          <w:lang w:val="de-DE"/>
        </w:rPr>
      </w:pPr>
      <w:r w:rsidRPr="00B14165">
        <w:rPr>
          <w:rFonts w:ascii="Arial" w:eastAsia="Arial" w:hAnsi="Arial" w:cs="Arial"/>
          <w:b/>
          <w:bCs/>
          <w:sz w:val="24"/>
          <w:szCs w:val="24"/>
          <w:lang w:val="de-DE"/>
        </w:rPr>
        <w:t>THE CONCEPTS OF MA’AN AND MAGHZA IN THE THOUGHT OF</w:t>
      </w:r>
    </w:p>
    <w:p w14:paraId="08D9AA23" w14:textId="6BB93F44" w:rsidR="004C4786" w:rsidRDefault="00B14165" w:rsidP="00B14165">
      <w:pPr>
        <w:spacing w:after="0" w:line="240" w:lineRule="auto"/>
        <w:ind w:hanging="2"/>
        <w:jc w:val="center"/>
        <w:rPr>
          <w:rFonts w:ascii="Arial" w:eastAsia="Arial" w:hAnsi="Arial" w:cs="Arial"/>
          <w:b/>
          <w:bCs/>
          <w:sz w:val="24"/>
          <w:szCs w:val="24"/>
          <w:lang w:val="de-DE"/>
        </w:rPr>
      </w:pPr>
      <w:r w:rsidRPr="00B14165">
        <w:rPr>
          <w:rFonts w:ascii="Arial" w:eastAsia="Arial" w:hAnsi="Arial" w:cs="Arial"/>
          <w:b/>
          <w:bCs/>
          <w:sz w:val="24"/>
          <w:szCs w:val="24"/>
          <w:lang w:val="de-DE"/>
        </w:rPr>
        <w:t>NASR HAMID ABU ZAYD</w:t>
      </w:r>
    </w:p>
    <w:p w14:paraId="3A2D99FF" w14:textId="77777777" w:rsidR="00B14165" w:rsidRPr="00DE307A" w:rsidRDefault="00B14165" w:rsidP="00B14165">
      <w:pPr>
        <w:spacing w:after="0" w:line="240" w:lineRule="auto"/>
        <w:ind w:hanging="2"/>
        <w:rPr>
          <w:rFonts w:ascii="Arial" w:eastAsia="Arial" w:hAnsi="Arial" w:cs="Arial"/>
          <w:sz w:val="24"/>
          <w:szCs w:val="24"/>
          <w:lang w:val="de-DE"/>
        </w:rPr>
      </w:pPr>
    </w:p>
    <w:p w14:paraId="2160B71D" w14:textId="77777777" w:rsidR="004C4786" w:rsidRPr="00DE307A" w:rsidRDefault="00FE366C">
      <w:pPr>
        <w:spacing w:after="0" w:line="240" w:lineRule="auto"/>
        <w:ind w:hanging="2"/>
        <w:jc w:val="center"/>
        <w:rPr>
          <w:rFonts w:ascii="Arial" w:eastAsia="Arial" w:hAnsi="Arial" w:cs="Arial"/>
          <w:sz w:val="24"/>
          <w:szCs w:val="24"/>
          <w:lang w:val="de-DE"/>
        </w:rPr>
      </w:pPr>
      <w:r w:rsidRPr="00DE307A">
        <w:rPr>
          <w:rFonts w:ascii="Arial" w:eastAsia="Arial" w:hAnsi="Arial" w:cs="Arial"/>
          <w:b/>
          <w:bCs/>
          <w:sz w:val="20"/>
          <w:szCs w:val="20"/>
          <w:lang w:val="de-DE"/>
        </w:rPr>
        <w:t>Umi Nurul Khanifa</w:t>
      </w:r>
      <w:r>
        <w:rPr>
          <w:rFonts w:ascii="Arial" w:eastAsia="Arial" w:hAnsi="Arial" w:cs="Arial"/>
          <w:b/>
          <w:bCs/>
          <w:color w:val="000000"/>
          <w:sz w:val="20"/>
          <w:szCs w:val="20"/>
          <w:vertAlign w:val="superscript"/>
        </w:rPr>
        <w:footnoteReference w:id="1"/>
      </w:r>
    </w:p>
    <w:p w14:paraId="165DA86F" w14:textId="77777777" w:rsidR="004C4786" w:rsidRPr="00DE307A" w:rsidRDefault="004C4786">
      <w:pPr>
        <w:spacing w:after="0" w:line="240" w:lineRule="auto"/>
        <w:ind w:hanging="2"/>
        <w:jc w:val="center"/>
        <w:rPr>
          <w:rFonts w:ascii="Arial" w:eastAsia="Arial" w:hAnsi="Arial" w:cs="Arial"/>
          <w:sz w:val="24"/>
          <w:szCs w:val="24"/>
          <w:lang w:val="de-DE"/>
        </w:rPr>
      </w:pPr>
    </w:p>
    <w:p w14:paraId="22135616" w14:textId="77777777" w:rsidR="004C4786" w:rsidRPr="00DE307A" w:rsidRDefault="004C4786">
      <w:pPr>
        <w:spacing w:after="0" w:line="240" w:lineRule="auto"/>
        <w:ind w:hanging="2"/>
        <w:rPr>
          <w:rFonts w:ascii="Arial" w:eastAsia="Arial" w:hAnsi="Arial" w:cs="Arial"/>
          <w:sz w:val="24"/>
          <w:szCs w:val="24"/>
          <w:lang w:val="de-DE"/>
        </w:rPr>
      </w:pPr>
    </w:p>
    <w:p w14:paraId="5ADA4077" w14:textId="77777777" w:rsidR="004C4786" w:rsidRPr="00DE307A" w:rsidRDefault="00FE366C">
      <w:pPr>
        <w:spacing w:after="0" w:line="240" w:lineRule="auto"/>
        <w:ind w:hanging="2"/>
        <w:jc w:val="center"/>
        <w:rPr>
          <w:rFonts w:ascii="Arial" w:eastAsia="Arial" w:hAnsi="Arial" w:cs="Arial"/>
          <w:sz w:val="24"/>
          <w:szCs w:val="24"/>
          <w:lang w:val="de-DE"/>
        </w:rPr>
      </w:pPr>
      <w:r w:rsidRPr="00DE307A">
        <w:rPr>
          <w:rFonts w:ascii="Arial" w:eastAsia="Arial" w:hAnsi="Arial" w:cs="Arial"/>
          <w:b/>
          <w:bCs/>
          <w:color w:val="000000"/>
          <w:sz w:val="24"/>
          <w:szCs w:val="24"/>
          <w:lang w:val="de-DE"/>
        </w:rPr>
        <w:t>Abstrak</w:t>
      </w:r>
    </w:p>
    <w:p w14:paraId="01E7F119" w14:textId="77777777" w:rsidR="004C4786" w:rsidRDefault="00FE366C" w:rsidP="00B14165">
      <w:pPr>
        <w:spacing w:after="0" w:line="240" w:lineRule="auto"/>
        <w:ind w:right="49" w:hanging="2"/>
        <w:jc w:val="both"/>
        <w:rPr>
          <w:rFonts w:ascii="Arial" w:eastAsia="Arial" w:hAnsi="Arial" w:cs="Arial"/>
          <w:sz w:val="24"/>
          <w:szCs w:val="24"/>
        </w:rPr>
      </w:pPr>
      <w:r w:rsidRPr="00DE307A">
        <w:rPr>
          <w:rFonts w:ascii="Arial" w:eastAsia="Arial" w:hAnsi="Arial" w:cs="Arial"/>
          <w:sz w:val="24"/>
          <w:szCs w:val="24"/>
          <w:lang w:val="de-DE"/>
        </w:rPr>
        <w:t xml:space="preserve">Penelitian ini mengkaji konsep ma'na wa maghza dalam pemikiran Nasr Hamid Abu Zayd sebagai pendekatan hermeneutik kontemporer dalam penafsiran al-Qur'an. Nasr Hamid memandang al-Qur'an sebagai teks kebahasaan (nashsh lughawi) yang tidak lepas dari konteks sosio-historis Arab pada masa pewahyuan, sehingga ia menyebutnya sebagai muntaj tsaqafi (produk budaya). Dalam kerangka ini, ia memperkenalkan dua konsep fundamental: ma'na, yaitu makna historis-orisinal teks sebagaimana dipahami audiens pertama, dan maghza, yaitu signifikansi atau pesan inti yang bersifat universal dan relevan bagi konteks kekinian. Pendekatan ini merupakan sintesis dari hermeneutika Gadamer yang menekankan kebebasan interpretasi dan hermeneutika objektif Ricoeur yang menekankan pencapaian makna melalui tanda-tanda tekstual. Metodologi ma'na wa maghza diterapkan melalui empat langkah: rekonstruksi konteks historis, analisis linguistik, identifikasi nilai-nilai universal, dan reaktualisasi dalam konteks kontemporer. </w:t>
      </w:r>
      <w:r>
        <w:rPr>
          <w:rFonts w:ascii="Arial" w:eastAsia="Arial" w:hAnsi="Arial" w:cs="Arial"/>
          <w:sz w:val="24"/>
          <w:szCs w:val="24"/>
        </w:rPr>
        <w:t>Penelitian ini bersifat studi pustaka (library research) dengan metode analisis konten. Hasil kajian menunjukkan bahwa pendekatan ma'na wa maghza merupakan terobosan tafsir kontemporer yang mampu mengkontekstualisasikan teks al-Qur'an dengan realitas modern tanpa meninggalkan otentisitas historisnya.</w:t>
      </w:r>
    </w:p>
    <w:p w14:paraId="3A18F3B8" w14:textId="77777777" w:rsidR="004C4786" w:rsidRDefault="00FE366C">
      <w:pPr>
        <w:spacing w:after="0"/>
        <w:ind w:right="860" w:firstLine="0"/>
        <w:jc w:val="both"/>
        <w:rPr>
          <w:rFonts w:ascii="Arial" w:eastAsia="Arial" w:hAnsi="Arial" w:cs="Arial"/>
          <w:sz w:val="24"/>
          <w:szCs w:val="24"/>
        </w:rPr>
      </w:pPr>
      <w:r>
        <w:rPr>
          <w:rFonts w:ascii="Arial" w:eastAsia="Arial" w:hAnsi="Arial" w:cs="Arial"/>
          <w:sz w:val="24"/>
          <w:szCs w:val="24"/>
        </w:rPr>
        <w:t xml:space="preserve"> </w:t>
      </w:r>
    </w:p>
    <w:p w14:paraId="6A4AB70E" w14:textId="5767706A" w:rsidR="004C4786" w:rsidRDefault="00FE366C" w:rsidP="00B14165">
      <w:pPr>
        <w:spacing w:after="0"/>
        <w:ind w:right="49" w:firstLine="0"/>
        <w:jc w:val="both"/>
        <w:rPr>
          <w:rFonts w:ascii="Arial" w:eastAsia="Arial" w:hAnsi="Arial" w:cs="Arial"/>
          <w:sz w:val="24"/>
          <w:szCs w:val="24"/>
        </w:rPr>
      </w:pPr>
      <w:r>
        <w:rPr>
          <w:rFonts w:ascii="Arial" w:eastAsia="Arial" w:hAnsi="Arial" w:cs="Arial"/>
          <w:b/>
          <w:bCs/>
          <w:sz w:val="24"/>
          <w:szCs w:val="24"/>
        </w:rPr>
        <w:t>Kata kunci:</w:t>
      </w:r>
      <w:r>
        <w:rPr>
          <w:rFonts w:ascii="Arial" w:eastAsia="Arial" w:hAnsi="Arial" w:cs="Arial"/>
          <w:sz w:val="24"/>
          <w:szCs w:val="24"/>
        </w:rPr>
        <w:t xml:space="preserve"> Ma'na wa Maghza, Nasr Hamid Abu Zayd, Hermeneutika al-Qur'an, Tafsir Kontemporer, Signifikansi Teks</w:t>
      </w:r>
      <w:r w:rsidR="00B14165">
        <w:rPr>
          <w:rFonts w:ascii="Arial" w:eastAsia="Arial" w:hAnsi="Arial" w:cs="Arial"/>
          <w:sz w:val="24"/>
          <w:szCs w:val="24"/>
        </w:rPr>
        <w:t>.</w:t>
      </w:r>
    </w:p>
    <w:p w14:paraId="4F5D836E" w14:textId="77777777" w:rsidR="004C4786" w:rsidRDefault="00FE366C">
      <w:pPr>
        <w:spacing w:after="0"/>
        <w:ind w:right="860" w:firstLine="0"/>
        <w:jc w:val="both"/>
        <w:rPr>
          <w:rFonts w:ascii="Arial" w:eastAsia="Arial" w:hAnsi="Arial" w:cs="Arial"/>
          <w:sz w:val="24"/>
          <w:szCs w:val="24"/>
        </w:rPr>
      </w:pPr>
      <w:r>
        <w:rPr>
          <w:rFonts w:ascii="Arial" w:eastAsia="Arial" w:hAnsi="Arial" w:cs="Arial"/>
          <w:sz w:val="24"/>
          <w:szCs w:val="24"/>
        </w:rPr>
        <w:t xml:space="preserve"> </w:t>
      </w:r>
    </w:p>
    <w:p w14:paraId="5187E9A7" w14:textId="77777777" w:rsidR="004C4786" w:rsidRDefault="004C4786">
      <w:pPr>
        <w:spacing w:after="0" w:line="240" w:lineRule="auto"/>
        <w:ind w:hanging="2"/>
        <w:rPr>
          <w:rFonts w:ascii="Arial" w:eastAsia="Arial" w:hAnsi="Arial" w:cs="Arial"/>
          <w:sz w:val="24"/>
          <w:szCs w:val="24"/>
        </w:rPr>
      </w:pPr>
    </w:p>
    <w:p w14:paraId="661B8B93" w14:textId="77777777" w:rsidR="004C4786" w:rsidRDefault="00FE366C">
      <w:pPr>
        <w:spacing w:after="0" w:line="240" w:lineRule="auto"/>
        <w:ind w:hanging="2"/>
        <w:jc w:val="center"/>
        <w:rPr>
          <w:rFonts w:ascii="Arial" w:eastAsia="Arial" w:hAnsi="Arial" w:cs="Arial"/>
          <w:sz w:val="24"/>
          <w:szCs w:val="24"/>
        </w:rPr>
      </w:pPr>
      <w:r>
        <w:rPr>
          <w:rFonts w:ascii="Arial" w:eastAsia="Arial" w:hAnsi="Arial" w:cs="Arial"/>
          <w:b/>
          <w:bCs/>
          <w:i/>
          <w:iCs/>
          <w:color w:val="000000"/>
          <w:sz w:val="24"/>
          <w:szCs w:val="24"/>
        </w:rPr>
        <w:t>Abstract</w:t>
      </w:r>
    </w:p>
    <w:p w14:paraId="49C6736C" w14:textId="662D9588" w:rsidR="004C4786" w:rsidRDefault="00FE366C" w:rsidP="00B14165">
      <w:pPr>
        <w:spacing w:after="0" w:line="240" w:lineRule="auto"/>
        <w:ind w:right="49" w:hanging="2"/>
        <w:jc w:val="both"/>
        <w:rPr>
          <w:rFonts w:ascii="Arial" w:eastAsia="Arial" w:hAnsi="Arial" w:cs="Arial"/>
          <w:i/>
          <w:iCs/>
          <w:sz w:val="24"/>
          <w:szCs w:val="24"/>
        </w:rPr>
      </w:pPr>
      <w:r>
        <w:rPr>
          <w:rFonts w:ascii="Arial" w:eastAsia="Arial" w:hAnsi="Arial" w:cs="Arial"/>
          <w:i/>
          <w:iCs/>
          <w:sz w:val="24"/>
          <w:szCs w:val="24"/>
        </w:rPr>
        <w:t xml:space="preserve">This study examines the concepts of ma'na and maghza in the thought of Nasr Hamid Abu Zayd as a contemporary hermeneutical approach to the interpretation of the Qur'an. Nasr Hamid views the Qur’an as a linguistic text (nashsh lughawi) that cannot be separated from the Arab socio-historical context at the time of revelation, hence he refers to it as a muntaj tsaqafi (cultural product). Within this framework, he introduces two fundamental concepts: ma’na, which refers to the historical-original meaning of the text as </w:t>
      </w:r>
      <w:r>
        <w:rPr>
          <w:rFonts w:ascii="Arial" w:eastAsia="Arial" w:hAnsi="Arial" w:cs="Arial"/>
          <w:i/>
          <w:iCs/>
          <w:sz w:val="24"/>
          <w:szCs w:val="24"/>
        </w:rPr>
        <w:lastRenderedPageBreak/>
        <w:t>understood by its first audience, and maghza, which refers to the significance or core message that is universal and relevant to the contemporary context. This approach is a synthesis of Gadamer’s hermeneutics, which emphasizes interpretive freedom, and Ricoeur’s objective hermeneutics, which emphasizes the attainment of meaning through textual signs. The ma’na wa maghza methodology is applied through four steps: reconstruction of the historical context, linguistic analysis, identification of universal values, and re-actualization in a contemporary context. This study is a literature review (library research) using content analysis. The results indicate that the “ma’na wa maghza” approach represents a breakthrough in contemporary exegesis, capable of contextualizing the Qur’anic text within modern reality without compromising its historical authenticity.</w:t>
      </w:r>
    </w:p>
    <w:p w14:paraId="5D46DB16" w14:textId="77777777" w:rsidR="004C4786" w:rsidRDefault="00FE366C">
      <w:pPr>
        <w:spacing w:after="0"/>
        <w:ind w:right="860" w:firstLine="0"/>
        <w:jc w:val="both"/>
        <w:rPr>
          <w:rFonts w:ascii="Arial" w:eastAsia="Arial" w:hAnsi="Arial" w:cs="Arial"/>
          <w:i/>
          <w:iCs/>
          <w:sz w:val="24"/>
          <w:szCs w:val="24"/>
        </w:rPr>
      </w:pPr>
      <w:r>
        <w:rPr>
          <w:rFonts w:ascii="Arial" w:eastAsia="Arial" w:hAnsi="Arial" w:cs="Arial"/>
          <w:i/>
          <w:iCs/>
          <w:sz w:val="24"/>
          <w:szCs w:val="24"/>
        </w:rPr>
        <w:t xml:space="preserve"> </w:t>
      </w:r>
    </w:p>
    <w:p w14:paraId="024FC791" w14:textId="02D8D51F" w:rsidR="004C4786" w:rsidRDefault="00FE366C" w:rsidP="00B14165">
      <w:pPr>
        <w:spacing w:after="0"/>
        <w:ind w:right="49" w:firstLine="0"/>
        <w:jc w:val="both"/>
        <w:rPr>
          <w:rFonts w:ascii="Arial" w:eastAsia="Arial" w:hAnsi="Arial" w:cs="Arial"/>
          <w:i/>
          <w:iCs/>
          <w:sz w:val="24"/>
          <w:szCs w:val="24"/>
        </w:rPr>
      </w:pPr>
      <w:r>
        <w:rPr>
          <w:rFonts w:ascii="Arial" w:eastAsia="Arial" w:hAnsi="Arial" w:cs="Arial"/>
          <w:b/>
          <w:bCs/>
          <w:i/>
          <w:iCs/>
          <w:sz w:val="24"/>
          <w:szCs w:val="24"/>
        </w:rPr>
        <w:t>Keywords:</w:t>
      </w:r>
      <w:r>
        <w:rPr>
          <w:rFonts w:ascii="Arial" w:eastAsia="Arial" w:hAnsi="Arial" w:cs="Arial"/>
          <w:i/>
          <w:iCs/>
          <w:sz w:val="24"/>
          <w:szCs w:val="24"/>
        </w:rPr>
        <w:t xml:space="preserve"> Ma'na wa Maghza, Nasr Hamid Abu Zayd, Qur’anic Hermeneutics, Contemporary Exegesis, Textual Significance</w:t>
      </w:r>
      <w:r w:rsidR="004023AE">
        <w:rPr>
          <w:rFonts w:ascii="Arial" w:eastAsia="Arial" w:hAnsi="Arial" w:cs="Arial"/>
          <w:i/>
          <w:iCs/>
          <w:sz w:val="24"/>
          <w:szCs w:val="24"/>
        </w:rPr>
        <w:t>.</w:t>
      </w:r>
    </w:p>
    <w:p w14:paraId="49A7C0B8" w14:textId="77777777" w:rsidR="004C4786" w:rsidRDefault="00FE366C">
      <w:pPr>
        <w:spacing w:after="0" w:line="240" w:lineRule="auto"/>
        <w:ind w:hanging="2"/>
        <w:rPr>
          <w:rFonts w:ascii="Arial" w:eastAsia="Arial" w:hAnsi="Arial" w:cs="Arial"/>
          <w:sz w:val="24"/>
          <w:szCs w:val="24"/>
        </w:rPr>
      </w:pPr>
      <w:r>
        <w:rPr>
          <w:rFonts w:ascii="Arial" w:eastAsia="Arial" w:hAnsi="Arial" w:cs="Arial"/>
          <w:sz w:val="24"/>
          <w:szCs w:val="24"/>
        </w:rPr>
        <w:br/>
      </w:r>
    </w:p>
    <w:p w14:paraId="723D5DEB" w14:textId="5101870B" w:rsidR="00416955" w:rsidRPr="00416955" w:rsidRDefault="00416955" w:rsidP="00416955">
      <w:pPr>
        <w:pStyle w:val="ListParagraph"/>
        <w:numPr>
          <w:ilvl w:val="0"/>
          <w:numId w:val="2"/>
        </w:numPr>
        <w:spacing w:before="180" w:after="0" w:line="360" w:lineRule="auto"/>
        <w:ind w:left="284" w:right="49"/>
        <w:jc w:val="both"/>
        <w:rPr>
          <w:rFonts w:ascii="Arial" w:eastAsia="Arial" w:hAnsi="Arial" w:cs="Arial"/>
          <w:b/>
          <w:bCs/>
          <w:color w:val="000000"/>
          <w:sz w:val="24"/>
          <w:szCs w:val="24"/>
        </w:rPr>
      </w:pPr>
      <w:r w:rsidRPr="00416955">
        <w:rPr>
          <w:rFonts w:ascii="Arial" w:eastAsia="Arial" w:hAnsi="Arial" w:cs="Arial"/>
          <w:b/>
          <w:bCs/>
          <w:color w:val="000000"/>
          <w:sz w:val="24"/>
          <w:szCs w:val="24"/>
        </w:rPr>
        <w:t>Introduction</w:t>
      </w:r>
    </w:p>
    <w:p w14:paraId="67179574" w14:textId="2283B81F" w:rsidR="004C4786" w:rsidRDefault="00416955" w:rsidP="00B14165">
      <w:pPr>
        <w:spacing w:before="180" w:after="0" w:line="360" w:lineRule="auto"/>
        <w:ind w:right="49" w:firstLine="720"/>
        <w:jc w:val="both"/>
        <w:rPr>
          <w:rFonts w:ascii="Arial" w:eastAsia="Arial" w:hAnsi="Arial" w:cs="Arial"/>
          <w:sz w:val="24"/>
          <w:szCs w:val="24"/>
        </w:rPr>
      </w:pPr>
      <w:r w:rsidRPr="00416955">
        <w:rPr>
          <w:rFonts w:ascii="Arial" w:eastAsia="Arial" w:hAnsi="Arial" w:cs="Arial"/>
          <w:sz w:val="24"/>
          <w:szCs w:val="24"/>
        </w:rPr>
        <w:t>The Qur’an, as the sacred text of Muslims, has always been the focus of various scholarly discourses, both classical and contemporary. Over time, Qur’anic studies have expanded beyond the normative-theological dimension to encompass linguistic, historical, and hermeneutical approaches. This expansion is driven by the complexity of modern social issues, which require interpretations of the Qur’an that remain relevant to the dynamics of the times.</w:t>
      </w:r>
      <w:r w:rsidR="00FE366C">
        <w:rPr>
          <w:rFonts w:ascii="Arial" w:eastAsia="Arial" w:hAnsi="Arial" w:cs="Arial"/>
          <w:sz w:val="24"/>
          <w:szCs w:val="24"/>
        </w:rPr>
        <w:t xml:space="preserve"> (Sa'dina &amp; Muhammad, 2025) </w:t>
      </w:r>
      <w:r w:rsidRPr="00416955">
        <w:rPr>
          <w:rFonts w:ascii="Arial" w:eastAsia="Arial" w:hAnsi="Arial" w:cs="Arial"/>
          <w:sz w:val="24"/>
          <w:szCs w:val="24"/>
        </w:rPr>
        <w:t>Consequently, various new approaches have emerged that seek to bridge the gap between the transcendent nature of revealed texts and the ever-changing reality of human life. One of the key figures in this discourse is Nasr Hamid Abu Zayd, who is known for his controversial ideas regarding the textual nature of the Qur’an and his contextual hermeneutical approach.</w:t>
      </w:r>
      <w:r w:rsidR="00FE366C">
        <w:rPr>
          <w:rFonts w:ascii="Arial" w:eastAsia="Arial" w:hAnsi="Arial" w:cs="Arial"/>
          <w:sz w:val="24"/>
          <w:szCs w:val="24"/>
        </w:rPr>
        <w:t xml:space="preserve"> (Setiawan &amp; Aziz, 2025)</w:t>
      </w:r>
    </w:p>
    <w:p w14:paraId="0ECD6E24" w14:textId="0A75A892" w:rsidR="004C4786" w:rsidRDefault="00416955" w:rsidP="00B14165">
      <w:pPr>
        <w:spacing w:before="160" w:after="0" w:line="360" w:lineRule="auto"/>
        <w:ind w:right="49" w:firstLine="720"/>
        <w:jc w:val="both"/>
        <w:rPr>
          <w:rFonts w:ascii="Arial" w:eastAsia="Arial" w:hAnsi="Arial" w:cs="Arial"/>
          <w:sz w:val="24"/>
          <w:szCs w:val="24"/>
        </w:rPr>
      </w:pPr>
      <w:r w:rsidRPr="00416955">
        <w:rPr>
          <w:rFonts w:ascii="Arial" w:eastAsia="Arial" w:hAnsi="Arial" w:cs="Arial"/>
          <w:sz w:val="24"/>
          <w:szCs w:val="24"/>
        </w:rPr>
        <w:t xml:space="preserve">Nasr Hamid Abu Zayd views the Qur’an not merely as a divine text, but as a text that has undergone a historical process within a specific socio-cultural </w:t>
      </w:r>
      <w:r w:rsidRPr="00416955">
        <w:rPr>
          <w:rFonts w:ascii="Arial" w:eastAsia="Arial" w:hAnsi="Arial" w:cs="Arial"/>
          <w:sz w:val="24"/>
          <w:szCs w:val="24"/>
        </w:rPr>
        <w:lastRenderedPageBreak/>
        <w:t>context. He introduced the concept that the Qur’an is a muntaj tsaqafi (cultural product), in the sense that the revelation sent down to the Prophet Muhammad (peace be upon him) cannot be separated from the social, linguistic, and cultural context of the Arab world at that time. This view has sparked widespread debate, as it is seen as shifting the paradigm of the sacred text toward a more humanistic and historical approach. Nevertheless, this approach actually opens up new avenues for understanding the Qur’an in a dynamic and contextual manner, thereby enabling it to address contemporary issues in a more practical way.</w:t>
      </w:r>
      <w:r w:rsidR="00FE366C">
        <w:rPr>
          <w:rFonts w:ascii="Arial" w:eastAsia="Arial" w:hAnsi="Arial" w:cs="Arial"/>
          <w:sz w:val="24"/>
          <w:szCs w:val="24"/>
        </w:rPr>
        <w:t xml:space="preserve"> (Pratama, Wibowo, &amp; Faizin, 2024)</w:t>
      </w:r>
    </w:p>
    <w:p w14:paraId="7A071D3D" w14:textId="1B53570A" w:rsidR="004C4786" w:rsidRDefault="00416955" w:rsidP="00B14165">
      <w:pPr>
        <w:spacing w:before="160" w:after="0" w:line="360" w:lineRule="auto"/>
        <w:ind w:right="49" w:firstLine="720"/>
        <w:jc w:val="both"/>
        <w:rPr>
          <w:rFonts w:ascii="Arial" w:eastAsia="Arial" w:hAnsi="Arial" w:cs="Arial"/>
          <w:sz w:val="24"/>
          <w:szCs w:val="24"/>
        </w:rPr>
      </w:pPr>
      <w:r w:rsidRPr="00416955">
        <w:rPr>
          <w:rFonts w:ascii="Arial" w:eastAsia="Arial" w:hAnsi="Arial" w:cs="Arial"/>
          <w:sz w:val="24"/>
          <w:szCs w:val="24"/>
        </w:rPr>
        <w:t>Within a hermeneutic framework, Abu Zayd emphasizes the importance of the relationship between the text, the reader, and reality. He criticizes the classical approach to exegesis, which tends to be textual and ahistorical, for failing to take into account the social context in which the verses were revealed. According to him, understanding the Qur’an must involve simultaneous linguistic, historical, and cultural analysis, so that the resulting meaning is not confined to mere literalism. This approach is known as productive hermeneutics (al-qira’an al-muntijah), which allows the text to continue speaking in various contexts according to the needs of the times</w:t>
      </w:r>
      <w:r w:rsidR="00FE366C">
        <w:rPr>
          <w:rFonts w:ascii="Arial" w:eastAsia="Arial" w:hAnsi="Arial" w:cs="Arial"/>
          <w:sz w:val="24"/>
          <w:szCs w:val="24"/>
        </w:rPr>
        <w:t>. (Lutfi, 2018)</w:t>
      </w:r>
    </w:p>
    <w:p w14:paraId="7AC924CD" w14:textId="77777777" w:rsidR="00416955" w:rsidRPr="00416955" w:rsidRDefault="00416955" w:rsidP="00416955">
      <w:pPr>
        <w:spacing w:before="60" w:after="0" w:line="360" w:lineRule="auto"/>
        <w:ind w:right="49" w:firstLine="720"/>
        <w:jc w:val="both"/>
        <w:rPr>
          <w:rFonts w:ascii="Arial" w:eastAsia="Arial" w:hAnsi="Arial" w:cs="Arial"/>
          <w:sz w:val="24"/>
          <w:szCs w:val="24"/>
        </w:rPr>
      </w:pPr>
      <w:r w:rsidRPr="00416955">
        <w:rPr>
          <w:rFonts w:ascii="Arial" w:eastAsia="Arial" w:hAnsi="Arial" w:cs="Arial"/>
          <w:sz w:val="24"/>
          <w:szCs w:val="24"/>
        </w:rPr>
        <w:t xml:space="preserve">In line with developments in Qur’anic hermeneutics, the concept of ma’na wa maghza has also emerged as one of the contextual approaches in contemporary exegesis. This concept, which has been extensively developed by Sahiron Syamsuddin, also shares an epistemological connection with Abu Zayd’s hermeneutical ideas, particularly in its effort to integrate the historical meaning of the text with its contemporary significance. Simply put, ma’na refers to the original or historical meaning as understood by the original </w:t>
      </w:r>
      <w:r w:rsidRPr="00416955">
        <w:rPr>
          <w:rFonts w:ascii="Arial" w:eastAsia="Arial" w:hAnsi="Arial" w:cs="Arial"/>
          <w:sz w:val="24"/>
          <w:szCs w:val="24"/>
        </w:rPr>
        <w:lastRenderedPageBreak/>
        <w:t>audience, while maghza refers to the central message or significance that can be applied in the present-day context.</w:t>
      </w:r>
    </w:p>
    <w:p w14:paraId="692C9BEE" w14:textId="43A9E90B" w:rsidR="004C4786" w:rsidRPr="00B14165" w:rsidRDefault="00416955" w:rsidP="00416955">
      <w:pPr>
        <w:spacing w:before="60" w:after="0" w:line="360" w:lineRule="auto"/>
        <w:ind w:right="49" w:firstLine="720"/>
        <w:jc w:val="both"/>
        <w:rPr>
          <w:rFonts w:ascii="Arial" w:eastAsia="Arial" w:hAnsi="Arial" w:cs="Arial"/>
          <w:sz w:val="28"/>
          <w:szCs w:val="28"/>
        </w:rPr>
      </w:pPr>
      <w:r w:rsidRPr="00416955">
        <w:rPr>
          <w:rFonts w:ascii="Arial" w:eastAsia="Arial" w:hAnsi="Arial" w:cs="Arial"/>
          <w:sz w:val="24"/>
          <w:szCs w:val="24"/>
        </w:rPr>
        <w:t>In practice, the ma’na wa maghza approach is carried out through two main stages: tracing the historical meaning of the text and reconstructing its universal significance. The first stage requires an analysis of linguistic aspects, the context in which the verses were revealed, and the social conditions of Arab society at the time of revelation. Meanwhile, the second stage seeks to actualize the Qur’an’s moral messages and universal values within contemporary reality. Thus, this approach not only preserves the authenticity of the text’s meaning but also ensures its relevance in addressing modern issues, such as social justice, gender, and human rights</w:t>
      </w:r>
      <w:r w:rsidR="00FE366C" w:rsidRPr="00B14165">
        <w:rPr>
          <w:rFonts w:ascii="Arial" w:eastAsia="Arial" w:hAnsi="Arial" w:cs="Arial"/>
          <w:sz w:val="24"/>
          <w:szCs w:val="24"/>
        </w:rPr>
        <w:t xml:space="preserve">. (Sa'dina &amp; Muhammad, 2025) </w:t>
      </w:r>
      <w:r w:rsidRPr="00416955">
        <w:rPr>
          <w:rFonts w:ascii="Arial" w:eastAsia="Arial" w:hAnsi="Arial" w:cs="Arial"/>
          <w:sz w:val="24"/>
          <w:szCs w:val="24"/>
        </w:rPr>
        <w:t>Based on this background, this study aims to describe the concept of ma’na wa maghza proposed by Nasr Hamid Abu Zayd in interpreting the meaning of the Qur’anic text</w:t>
      </w:r>
      <w:r w:rsidR="00FE366C" w:rsidRPr="00B14165">
        <w:rPr>
          <w:rFonts w:ascii="Arial" w:eastAsia="Arial" w:hAnsi="Arial" w:cs="Arial"/>
          <w:sz w:val="24"/>
          <w:szCs w:val="24"/>
        </w:rPr>
        <w:t>.</w:t>
      </w:r>
      <w:r w:rsidR="00FE366C" w:rsidRPr="00B14165">
        <w:rPr>
          <w:rFonts w:ascii="Arial" w:eastAsia="Arial" w:hAnsi="Arial" w:cs="Arial"/>
          <w:sz w:val="28"/>
          <w:szCs w:val="28"/>
        </w:rPr>
        <w:t xml:space="preserve"> </w:t>
      </w:r>
    </w:p>
    <w:p w14:paraId="4C4B55F4" w14:textId="05E4450B" w:rsidR="00416955" w:rsidRPr="00416955" w:rsidRDefault="00416955" w:rsidP="00416955">
      <w:pPr>
        <w:pStyle w:val="ListParagraph"/>
        <w:numPr>
          <w:ilvl w:val="0"/>
          <w:numId w:val="2"/>
        </w:numPr>
        <w:spacing w:after="0" w:line="360" w:lineRule="auto"/>
        <w:ind w:left="284" w:right="49"/>
        <w:jc w:val="both"/>
        <w:rPr>
          <w:rFonts w:ascii="Arial" w:eastAsia="Arial" w:hAnsi="Arial" w:cs="Arial"/>
          <w:b/>
          <w:bCs/>
          <w:color w:val="000000"/>
          <w:sz w:val="24"/>
          <w:szCs w:val="24"/>
        </w:rPr>
      </w:pPr>
      <w:r w:rsidRPr="00416955">
        <w:rPr>
          <w:rFonts w:ascii="Arial" w:eastAsia="Arial" w:hAnsi="Arial" w:cs="Arial"/>
          <w:b/>
          <w:bCs/>
          <w:color w:val="000000"/>
          <w:sz w:val="24"/>
          <w:szCs w:val="24"/>
        </w:rPr>
        <w:t>Research Methodology</w:t>
      </w:r>
    </w:p>
    <w:p w14:paraId="21C2031C" w14:textId="0AD316F2" w:rsidR="004C4786" w:rsidRDefault="00416955" w:rsidP="00416955">
      <w:pPr>
        <w:spacing w:after="0" w:line="360" w:lineRule="auto"/>
        <w:ind w:right="49" w:firstLine="720"/>
        <w:jc w:val="both"/>
        <w:rPr>
          <w:rFonts w:ascii="Arial" w:eastAsia="Arial" w:hAnsi="Arial" w:cs="Arial"/>
          <w:sz w:val="24"/>
          <w:szCs w:val="24"/>
        </w:rPr>
      </w:pPr>
      <w:r w:rsidRPr="00416955">
        <w:rPr>
          <w:rFonts w:ascii="Arial" w:eastAsia="Arial" w:hAnsi="Arial" w:cs="Arial"/>
          <w:sz w:val="24"/>
          <w:szCs w:val="24"/>
        </w:rPr>
        <w:t>This paper is a literature review (library research), meaning that its research and analysis are based on books, journal articles, manuscripts, and other written works. The author attempts to provide an analytical description of the data obtained regarding the study of the concepts of ma’na and maghza in the thought of Nasr Hamid Abu Zayd. The analysis method used in this study is content analysis, a method employed to draw conclusions by objectively and systematically identifying the characteristics of the message. Through this method, an objective, systematic, and relevant understanding of the author’s message will be obtained.</w:t>
      </w:r>
      <w:r>
        <w:rPr>
          <w:rFonts w:ascii="Arial" w:eastAsia="Arial" w:hAnsi="Arial" w:cs="Arial"/>
          <w:sz w:val="24"/>
          <w:szCs w:val="24"/>
        </w:rPr>
        <w:t xml:space="preserve"> </w:t>
      </w:r>
      <w:r w:rsidRPr="00416955">
        <w:rPr>
          <w:rFonts w:ascii="Arial" w:eastAsia="Arial" w:hAnsi="Arial" w:cs="Arial"/>
          <w:sz w:val="24"/>
          <w:szCs w:val="24"/>
        </w:rPr>
        <w:t>The data sources used in this paper—including both primary and secondary sources—consist of all information collected for the study, whether from texts, books, manuscripts, photographs, or other sources</w:t>
      </w:r>
      <w:r>
        <w:rPr>
          <w:rFonts w:ascii="Arial" w:eastAsia="Arial" w:hAnsi="Arial" w:cs="Arial"/>
          <w:sz w:val="24"/>
          <w:szCs w:val="24"/>
        </w:rPr>
        <w:t>.</w:t>
      </w:r>
    </w:p>
    <w:p w14:paraId="03A636B1" w14:textId="77777777" w:rsidR="00416955" w:rsidRDefault="00416955" w:rsidP="00416955">
      <w:pPr>
        <w:spacing w:after="0" w:line="360" w:lineRule="auto"/>
        <w:ind w:right="49" w:firstLine="720"/>
        <w:jc w:val="both"/>
        <w:rPr>
          <w:rFonts w:ascii="Arial" w:eastAsia="Arial" w:hAnsi="Arial" w:cs="Arial"/>
          <w:sz w:val="24"/>
          <w:szCs w:val="24"/>
        </w:rPr>
      </w:pPr>
    </w:p>
    <w:p w14:paraId="02F828A3" w14:textId="0F968D32" w:rsidR="00416955" w:rsidRDefault="00416955" w:rsidP="00416955">
      <w:pPr>
        <w:spacing w:after="0" w:line="360" w:lineRule="auto"/>
        <w:ind w:firstLine="0"/>
        <w:jc w:val="both"/>
        <w:rPr>
          <w:rFonts w:ascii="Arial" w:eastAsia="Arial" w:hAnsi="Arial" w:cs="Arial"/>
          <w:b/>
          <w:bCs/>
          <w:color w:val="000000"/>
          <w:sz w:val="24"/>
          <w:szCs w:val="24"/>
        </w:rPr>
      </w:pPr>
      <w:r>
        <w:rPr>
          <w:rFonts w:ascii="Arial" w:eastAsia="Arial" w:hAnsi="Arial" w:cs="Arial"/>
          <w:b/>
          <w:bCs/>
          <w:color w:val="000000"/>
          <w:sz w:val="24"/>
          <w:szCs w:val="24"/>
        </w:rPr>
        <w:lastRenderedPageBreak/>
        <w:t xml:space="preserve">C. </w:t>
      </w:r>
      <w:r w:rsidRPr="00416955">
        <w:rPr>
          <w:rFonts w:ascii="Arial" w:eastAsia="Arial" w:hAnsi="Arial" w:cs="Arial"/>
          <w:b/>
          <w:bCs/>
          <w:color w:val="000000"/>
          <w:sz w:val="24"/>
          <w:szCs w:val="24"/>
        </w:rPr>
        <w:t>Results and Discussion</w:t>
      </w:r>
    </w:p>
    <w:p w14:paraId="4A1919B2" w14:textId="00C74396" w:rsidR="004C4786" w:rsidRDefault="00416955" w:rsidP="00416955">
      <w:pPr>
        <w:spacing w:before="20" w:after="0" w:line="360" w:lineRule="auto"/>
        <w:ind w:firstLine="0"/>
        <w:rPr>
          <w:rFonts w:ascii="Arial" w:eastAsia="Arial" w:hAnsi="Arial" w:cs="Arial"/>
          <w:b/>
          <w:bCs/>
          <w:sz w:val="24"/>
          <w:szCs w:val="24"/>
        </w:rPr>
      </w:pPr>
      <w:r w:rsidRPr="00416955">
        <w:rPr>
          <w:rFonts w:ascii="Arial" w:eastAsia="Arial" w:hAnsi="Arial" w:cs="Arial"/>
          <w:b/>
          <w:bCs/>
          <w:sz w:val="24"/>
          <w:szCs w:val="24"/>
        </w:rPr>
        <w:t>Biography of Nasr Hamid Abu Zayd</w:t>
      </w:r>
      <w:r w:rsidR="00FE366C">
        <w:rPr>
          <w:rFonts w:ascii="Arial" w:eastAsia="Arial" w:hAnsi="Arial" w:cs="Arial"/>
          <w:b/>
          <w:bCs/>
          <w:sz w:val="24"/>
          <w:szCs w:val="24"/>
        </w:rPr>
        <w:t xml:space="preserve"> </w:t>
      </w:r>
    </w:p>
    <w:p w14:paraId="3FFB8B9E" w14:textId="31406CC9" w:rsidR="004C4786" w:rsidRPr="00DE307A" w:rsidRDefault="00416955" w:rsidP="00416955">
      <w:pPr>
        <w:spacing w:after="0" w:line="360" w:lineRule="auto"/>
        <w:ind w:left="360" w:right="49" w:firstLine="720"/>
        <w:jc w:val="both"/>
        <w:rPr>
          <w:rFonts w:ascii="Arial" w:eastAsia="Arial" w:hAnsi="Arial" w:cs="Arial"/>
          <w:sz w:val="24"/>
          <w:szCs w:val="24"/>
          <w:lang w:val="de-DE"/>
        </w:rPr>
      </w:pPr>
      <w:r w:rsidRPr="00416955">
        <w:rPr>
          <w:rFonts w:ascii="Arial" w:eastAsia="Arial" w:hAnsi="Arial" w:cs="Arial"/>
          <w:sz w:val="24"/>
          <w:szCs w:val="24"/>
        </w:rPr>
        <w:t>Nasr Hamid Abu Zayd (hereinafter referred to as Nasr Hamid) was born in Tanta, Egypt, on July 10, 1943. He was born into a devoutly religious family; as a result, from an early age, Nasr Hamid was very familiar with religious teachings. He was a qari</w:t>
      </w:r>
      <w:r w:rsidR="00C06B78">
        <w:rPr>
          <w:rFonts w:ascii="Arial" w:eastAsia="Arial" w:hAnsi="Arial" w:cs="Arial"/>
          <w:sz w:val="24"/>
          <w:szCs w:val="24"/>
        </w:rPr>
        <w:t>’ (Qur’an Reciter)</w:t>
      </w:r>
      <w:r w:rsidRPr="00416955">
        <w:rPr>
          <w:rFonts w:ascii="Arial" w:eastAsia="Arial" w:hAnsi="Arial" w:cs="Arial"/>
          <w:sz w:val="24"/>
          <w:szCs w:val="24"/>
        </w:rPr>
        <w:t xml:space="preserve"> and a hafiz</w:t>
      </w:r>
      <w:r w:rsidR="00C06B78">
        <w:rPr>
          <w:rFonts w:ascii="Arial" w:eastAsia="Arial" w:hAnsi="Arial" w:cs="Arial"/>
          <w:sz w:val="24"/>
          <w:szCs w:val="24"/>
        </w:rPr>
        <w:t xml:space="preserve"> (Qur’an Memorizer)</w:t>
      </w:r>
      <w:r w:rsidRPr="00416955">
        <w:rPr>
          <w:rFonts w:ascii="Arial" w:eastAsia="Arial" w:hAnsi="Arial" w:cs="Arial"/>
          <w:sz w:val="24"/>
          <w:szCs w:val="24"/>
        </w:rPr>
        <w:t>, and by the age of eight, he was able to recite the entire Qur’an. (Ali Imron et al., 2010) Nasr Hamid began his academic journey at the Tantha Technical School and graduated from that school in 1960. In 1968, Nasr Hamid enrolled in the Arabic Language and Literature program at the Faculty of Arts at Cairo University</w:t>
      </w:r>
      <w:r w:rsidR="00FE366C">
        <w:rPr>
          <w:rFonts w:ascii="Arial" w:eastAsia="Arial" w:hAnsi="Arial" w:cs="Arial"/>
          <w:sz w:val="24"/>
          <w:szCs w:val="24"/>
        </w:rPr>
        <w:t xml:space="preserve">. (Ali Imron dkk, 2010) </w:t>
      </w:r>
      <w:r w:rsidRPr="00416955">
        <w:rPr>
          <w:rFonts w:ascii="Arial" w:eastAsia="Arial" w:hAnsi="Arial" w:cs="Arial"/>
          <w:sz w:val="24"/>
          <w:szCs w:val="24"/>
        </w:rPr>
        <w:t>That was the beginning of Nasr Hamid’s demonstration of his talent in linguistics and literature, which later led him to develop a new interpretation of the Qur’an using a linguistic approach. In 1972, he earned his bachelor’s degree and subsequently became an assistant lecturer in the same department. Nasr Hamid continued his academic journey by pursuing a master’s degree in the same department, which he completed in 1981. From 1976 to 1987, Nasr Hamid taught foreign students at the Center for Diplomats and the Ministry of Education</w:t>
      </w:r>
      <w:r w:rsidR="00FE366C" w:rsidRPr="00DE307A">
        <w:rPr>
          <w:rFonts w:ascii="Arial" w:eastAsia="Arial" w:hAnsi="Arial" w:cs="Arial"/>
          <w:sz w:val="24"/>
          <w:szCs w:val="24"/>
          <w:lang w:val="de-DE"/>
        </w:rPr>
        <w:t>.</w:t>
      </w:r>
    </w:p>
    <w:p w14:paraId="302810F4" w14:textId="61909D82" w:rsidR="004C4786" w:rsidRPr="00DE307A" w:rsidRDefault="00416955" w:rsidP="00B14165">
      <w:pPr>
        <w:spacing w:before="160" w:after="0" w:line="360" w:lineRule="auto"/>
        <w:ind w:left="360" w:right="49" w:firstLine="720"/>
        <w:jc w:val="both"/>
        <w:rPr>
          <w:rFonts w:ascii="Arial" w:eastAsia="Arial" w:hAnsi="Arial" w:cs="Arial"/>
          <w:sz w:val="24"/>
          <w:szCs w:val="24"/>
          <w:lang w:val="de-DE"/>
        </w:rPr>
      </w:pPr>
      <w:r w:rsidRPr="00416955">
        <w:rPr>
          <w:rFonts w:ascii="Arial" w:eastAsia="Arial" w:hAnsi="Arial" w:cs="Arial"/>
          <w:sz w:val="24"/>
          <w:szCs w:val="24"/>
          <w:lang w:val="de-DE"/>
        </w:rPr>
        <w:t xml:space="preserve">Recognizing Nasr Hamid’s extraordinary talent, the department administration appointed him as an assistant professor teaching the core course “Islamic Studies” in 1982, and he was honored with the title of “full professor” in the same field in 1995. From 1975 to 1977, he received a scholarship from the Ford Foundation Fellowship to study at the American University in Cairo. He also received a scholarship from 1978 to 1979 to study at the Center for Middle East Studies. His career continued to rise when he was appointed as a visiting professor at Osaka University of </w:t>
      </w:r>
      <w:r w:rsidRPr="00416955">
        <w:rPr>
          <w:rFonts w:ascii="Arial" w:eastAsia="Arial" w:hAnsi="Arial" w:cs="Arial"/>
          <w:sz w:val="24"/>
          <w:szCs w:val="24"/>
          <w:lang w:val="de-DE"/>
        </w:rPr>
        <w:lastRenderedPageBreak/>
        <w:t>Foreign Studies in Japan from 1985 to 1989 and at Leiden University in the Netherlands from 1995 to 1998</w:t>
      </w:r>
      <w:r w:rsidR="00FE366C" w:rsidRPr="00DE307A">
        <w:rPr>
          <w:rFonts w:ascii="Arial" w:eastAsia="Arial" w:hAnsi="Arial" w:cs="Arial"/>
          <w:sz w:val="24"/>
          <w:szCs w:val="24"/>
          <w:lang w:val="de-DE"/>
        </w:rPr>
        <w:t>. (Ali Imron dkk, 2010)</w:t>
      </w:r>
    </w:p>
    <w:p w14:paraId="0C1F3158" w14:textId="4B96F275" w:rsidR="004C4786" w:rsidRPr="00DE307A" w:rsidRDefault="00416955" w:rsidP="00B14165">
      <w:pPr>
        <w:spacing w:before="160" w:after="0" w:line="360" w:lineRule="auto"/>
        <w:ind w:left="360" w:right="49" w:firstLine="720"/>
        <w:jc w:val="both"/>
        <w:rPr>
          <w:rFonts w:ascii="Arial" w:eastAsia="Arial" w:hAnsi="Arial" w:cs="Arial"/>
          <w:sz w:val="24"/>
          <w:szCs w:val="24"/>
          <w:lang w:val="de-DE"/>
        </w:rPr>
      </w:pPr>
      <w:r w:rsidRPr="00416955">
        <w:rPr>
          <w:rFonts w:ascii="Arial" w:eastAsia="Arial" w:hAnsi="Arial" w:cs="Arial"/>
          <w:sz w:val="24"/>
          <w:szCs w:val="24"/>
          <w:lang w:val="de-DE"/>
        </w:rPr>
        <w:t>Throughout his career, Nasr Hamid has produced numerous works in the field of Islamic studies, both those related to Islamic thought in general and Qur’anic studies in particular. Many of these works are controversial, as many of Nasr Hamid’s views are considered to deviate from the principles of Islamic teachings. For example, in his book Mafhum Al-Nas (Dirasah fi Ulum al-Qur’an), Nasr Hamid refers to the Qur’an as a “cultural product” (Muntaj al-Tsaqafi). His other published works are as follows</w:t>
      </w:r>
      <w:r w:rsidR="00FE366C" w:rsidRPr="00DE307A">
        <w:rPr>
          <w:rFonts w:ascii="Arial" w:eastAsia="Arial" w:hAnsi="Arial" w:cs="Arial"/>
          <w:sz w:val="24"/>
          <w:szCs w:val="24"/>
          <w:lang w:val="de-DE"/>
        </w:rPr>
        <w:t>:</w:t>
      </w:r>
    </w:p>
    <w:p w14:paraId="23B4A223" w14:textId="7CA8A6AE" w:rsidR="004C4786" w:rsidRDefault="00FE366C" w:rsidP="00416955">
      <w:pPr>
        <w:spacing w:before="160" w:after="0" w:line="360" w:lineRule="auto"/>
        <w:ind w:left="851" w:right="49" w:hanging="284"/>
        <w:jc w:val="both"/>
        <w:rPr>
          <w:rFonts w:ascii="Arial" w:eastAsia="Arial" w:hAnsi="Arial" w:cs="Arial"/>
          <w:sz w:val="24"/>
          <w:szCs w:val="24"/>
        </w:rPr>
      </w:pPr>
      <w:r>
        <w:rPr>
          <w:rFonts w:ascii="Arial" w:eastAsia="Arial" w:hAnsi="Arial" w:cs="Arial"/>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 xml:space="preserve"> ​Al-Ittijahat al-Aql fi al-Tafsir: Dirasat fi Qadiyat al-majaz Ind al Mu’tazilah (</w:t>
      </w:r>
      <w:r w:rsidR="00416955" w:rsidRPr="00416955">
        <w:rPr>
          <w:rFonts w:ascii="Arial" w:eastAsia="Arial" w:hAnsi="Arial" w:cs="Arial"/>
          <w:sz w:val="24"/>
          <w:szCs w:val="24"/>
        </w:rPr>
        <w:t>A Rational Approach to Interpretation: A Study of Figurative Language According to the Mu’tazilah</w:t>
      </w:r>
      <w:r>
        <w:rPr>
          <w:rFonts w:ascii="Arial" w:eastAsia="Arial" w:hAnsi="Arial" w:cs="Arial"/>
          <w:sz w:val="24"/>
          <w:szCs w:val="24"/>
        </w:rPr>
        <w:t>)</w:t>
      </w:r>
    </w:p>
    <w:p w14:paraId="63BCCFC9" w14:textId="1C4CEB13" w:rsidR="004C4786" w:rsidRDefault="00FE366C" w:rsidP="00416955">
      <w:pPr>
        <w:spacing w:after="0" w:line="360" w:lineRule="auto"/>
        <w:ind w:left="851" w:right="49" w:hanging="284"/>
        <w:jc w:val="both"/>
        <w:rPr>
          <w:rFonts w:ascii="Arial" w:eastAsia="Arial" w:hAnsi="Arial" w:cs="Arial"/>
          <w:sz w:val="24"/>
          <w:szCs w:val="24"/>
        </w:rPr>
      </w:pPr>
      <w:r>
        <w:rPr>
          <w:rFonts w:ascii="Arial" w:eastAsia="Arial" w:hAnsi="Arial" w:cs="Arial"/>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Falsafat al-Ta’wil; Dirasat fi al-Ta’wil al-Qur’an ‘Ind Muhyiddin Ibn ‘Arabi (</w:t>
      </w:r>
      <w:r w:rsidR="00416955" w:rsidRPr="00416955">
        <w:rPr>
          <w:rFonts w:ascii="Arial" w:eastAsia="Arial" w:hAnsi="Arial" w:cs="Arial"/>
          <w:sz w:val="24"/>
          <w:szCs w:val="24"/>
        </w:rPr>
        <w:t>Philosophical Interpretation: A Study of the Interpretation of the Qur’an According to Ibn ‘Arabi</w:t>
      </w:r>
      <w:r>
        <w:rPr>
          <w:rFonts w:ascii="Arial" w:eastAsia="Arial" w:hAnsi="Arial" w:cs="Arial"/>
          <w:sz w:val="24"/>
          <w:szCs w:val="24"/>
        </w:rPr>
        <w:t>),</w:t>
      </w:r>
    </w:p>
    <w:p w14:paraId="5D7C3F43" w14:textId="1E7F99C3" w:rsidR="004C4786" w:rsidRDefault="00FE366C" w:rsidP="00416955">
      <w:pPr>
        <w:spacing w:after="0" w:line="295" w:lineRule="auto"/>
        <w:ind w:left="851" w:right="49" w:hanging="284"/>
        <w:jc w:val="both"/>
        <w:rPr>
          <w:rFonts w:ascii="Arial" w:eastAsia="Arial" w:hAnsi="Arial" w:cs="Arial"/>
          <w:sz w:val="24"/>
          <w:szCs w:val="24"/>
        </w:rPr>
      </w:pPr>
      <w:r>
        <w:rPr>
          <w:rFonts w:ascii="Arial" w:eastAsia="Arial" w:hAnsi="Arial" w:cs="Arial"/>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Naqd al-Khitab al-Dini (</w:t>
      </w:r>
      <w:r w:rsidR="00416955" w:rsidRPr="00416955">
        <w:rPr>
          <w:rFonts w:ascii="Arial" w:eastAsia="Arial" w:hAnsi="Arial" w:cs="Arial"/>
          <w:sz w:val="24"/>
          <w:szCs w:val="24"/>
        </w:rPr>
        <w:t>Critique of Religious Discourse</w:t>
      </w:r>
      <w:r>
        <w:rPr>
          <w:rFonts w:ascii="Arial" w:eastAsia="Arial" w:hAnsi="Arial" w:cs="Arial"/>
          <w:sz w:val="24"/>
          <w:szCs w:val="24"/>
        </w:rPr>
        <w:t>)</w:t>
      </w:r>
    </w:p>
    <w:p w14:paraId="0293E71A" w14:textId="42AF20CC" w:rsidR="004C4786" w:rsidRDefault="00FE366C" w:rsidP="00416955">
      <w:pPr>
        <w:spacing w:before="140" w:after="0" w:line="355" w:lineRule="auto"/>
        <w:ind w:left="851" w:right="49" w:hanging="284"/>
        <w:jc w:val="both"/>
        <w:rPr>
          <w:rFonts w:ascii="Arial" w:eastAsia="Arial" w:hAnsi="Arial" w:cs="Arial"/>
          <w:sz w:val="24"/>
          <w:szCs w:val="24"/>
        </w:rPr>
      </w:pPr>
      <w:r>
        <w:rPr>
          <w:rFonts w:ascii="Arial" w:eastAsia="Arial" w:hAnsi="Arial" w:cs="Arial"/>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Al-Imam al-Syafi’i wa Ta’sis al-Aidiulujiyyat al-Wasatiyyat (</w:t>
      </w:r>
      <w:r w:rsidR="00416955" w:rsidRPr="00416955">
        <w:rPr>
          <w:rFonts w:ascii="Arial" w:eastAsia="Arial" w:hAnsi="Arial" w:cs="Arial"/>
          <w:sz w:val="24"/>
          <w:szCs w:val="24"/>
        </w:rPr>
        <w:t>Imam Shafi'i and the Formation of a Moderate Ideology</w:t>
      </w:r>
      <w:r>
        <w:rPr>
          <w:rFonts w:ascii="Arial" w:eastAsia="Arial" w:hAnsi="Arial" w:cs="Arial"/>
          <w:sz w:val="24"/>
          <w:szCs w:val="24"/>
        </w:rPr>
        <w:t>)</w:t>
      </w:r>
    </w:p>
    <w:p w14:paraId="7F158A49" w14:textId="6DD4916F" w:rsidR="004C4786" w:rsidRDefault="00FE366C" w:rsidP="00416955">
      <w:pPr>
        <w:spacing w:before="140" w:after="0" w:line="355" w:lineRule="auto"/>
        <w:ind w:left="851" w:right="49" w:hanging="284"/>
        <w:jc w:val="both"/>
        <w:rPr>
          <w:rFonts w:ascii="Arial" w:eastAsia="Arial" w:hAnsi="Arial" w:cs="Arial"/>
          <w:sz w:val="24"/>
          <w:szCs w:val="24"/>
        </w:rPr>
      </w:pPr>
      <w:r>
        <w:rPr>
          <w:rFonts w:ascii="Arial" w:eastAsia="Arial" w:hAnsi="Arial" w:cs="Arial"/>
          <w:sz w:val="24"/>
          <w:szCs w:val="24"/>
        </w:rPr>
        <w:t>5.</w:t>
      </w:r>
      <w:r>
        <w:rPr>
          <w:rFonts w:ascii="Times New Roman" w:eastAsia="Times New Roman" w:hAnsi="Times New Roman" w:cs="Times New Roman"/>
          <w:sz w:val="14"/>
          <w:szCs w:val="14"/>
        </w:rPr>
        <w:t xml:space="preserve">     </w:t>
      </w:r>
      <w:r>
        <w:rPr>
          <w:rFonts w:ascii="Arial" w:eastAsia="Arial" w:hAnsi="Arial" w:cs="Arial"/>
          <w:sz w:val="24"/>
          <w:szCs w:val="24"/>
        </w:rPr>
        <w:t>Al-Nass, al-Sultat, al-Haqiqat (</w:t>
      </w:r>
      <w:r w:rsidR="00416955" w:rsidRPr="00416955">
        <w:rPr>
          <w:rFonts w:ascii="Arial" w:eastAsia="Arial" w:hAnsi="Arial" w:cs="Arial"/>
          <w:sz w:val="24"/>
          <w:szCs w:val="24"/>
        </w:rPr>
        <w:t>Text, Authority of Truth</w:t>
      </w:r>
      <w:r>
        <w:rPr>
          <w:rFonts w:ascii="Arial" w:eastAsia="Arial" w:hAnsi="Arial" w:cs="Arial"/>
          <w:sz w:val="24"/>
          <w:szCs w:val="24"/>
        </w:rPr>
        <w:t>)</w:t>
      </w:r>
    </w:p>
    <w:p w14:paraId="78671B6A" w14:textId="29E70C21" w:rsidR="004C4786" w:rsidRDefault="00FE366C" w:rsidP="00416955">
      <w:pPr>
        <w:spacing w:before="140" w:after="0" w:line="360" w:lineRule="auto"/>
        <w:ind w:left="851" w:right="49" w:hanging="284"/>
        <w:jc w:val="both"/>
        <w:rPr>
          <w:rFonts w:ascii="Arial" w:eastAsia="Arial" w:hAnsi="Arial" w:cs="Arial"/>
          <w:sz w:val="24"/>
          <w:szCs w:val="24"/>
        </w:rPr>
      </w:pPr>
      <w:r>
        <w:rPr>
          <w:rFonts w:ascii="Arial" w:eastAsia="Arial" w:hAnsi="Arial" w:cs="Arial"/>
          <w:sz w:val="24"/>
          <w:szCs w:val="24"/>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Isykaliyyat al-Qira’at wa Aliyat al-Ta’wil (</w:t>
      </w:r>
      <w:r w:rsidR="00416955" w:rsidRPr="00416955">
        <w:rPr>
          <w:rFonts w:ascii="Arial" w:eastAsia="Arial" w:hAnsi="Arial" w:cs="Arial"/>
          <w:sz w:val="24"/>
          <w:szCs w:val="24"/>
        </w:rPr>
        <w:t>Issues in Reading and Mechanisms of Interpretation</w:t>
      </w:r>
      <w:r>
        <w:rPr>
          <w:rFonts w:ascii="Arial" w:eastAsia="Arial" w:hAnsi="Arial" w:cs="Arial"/>
          <w:sz w:val="24"/>
          <w:szCs w:val="24"/>
        </w:rPr>
        <w:t>)</w:t>
      </w:r>
    </w:p>
    <w:p w14:paraId="26939CE2" w14:textId="1DEAFD84" w:rsidR="004C4786" w:rsidRDefault="00FE366C" w:rsidP="00416955">
      <w:pPr>
        <w:spacing w:after="0" w:line="295" w:lineRule="auto"/>
        <w:ind w:left="851" w:right="49" w:hanging="284"/>
        <w:jc w:val="both"/>
        <w:rPr>
          <w:rFonts w:ascii="Arial" w:eastAsia="Arial" w:hAnsi="Arial" w:cs="Arial"/>
          <w:sz w:val="24"/>
          <w:szCs w:val="24"/>
        </w:rPr>
      </w:pPr>
      <w:r>
        <w:rPr>
          <w:rFonts w:ascii="Arial" w:eastAsia="Arial" w:hAnsi="Arial" w:cs="Arial"/>
          <w:sz w:val="24"/>
          <w:szCs w:val="24"/>
        </w:rP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Al-Tafkir fi Zaman al-Takfir (</w:t>
      </w:r>
      <w:r w:rsidR="00416955" w:rsidRPr="00416955">
        <w:rPr>
          <w:rFonts w:ascii="Arial" w:eastAsia="Arial" w:hAnsi="Arial" w:cs="Arial"/>
          <w:sz w:val="24"/>
          <w:szCs w:val="24"/>
        </w:rPr>
        <w:t>Thoughts in the Era of Excommunication</w:t>
      </w:r>
      <w:r>
        <w:rPr>
          <w:rFonts w:ascii="Arial" w:eastAsia="Arial" w:hAnsi="Arial" w:cs="Arial"/>
          <w:sz w:val="24"/>
          <w:szCs w:val="24"/>
        </w:rPr>
        <w:t>)</w:t>
      </w:r>
    </w:p>
    <w:p w14:paraId="05F29567" w14:textId="77777777" w:rsidR="00416955" w:rsidRDefault="00416955" w:rsidP="00416955">
      <w:pPr>
        <w:spacing w:after="0" w:line="295" w:lineRule="auto"/>
        <w:ind w:left="851" w:right="49" w:hanging="284"/>
        <w:jc w:val="both"/>
        <w:rPr>
          <w:rFonts w:ascii="Arial" w:eastAsia="Arial" w:hAnsi="Arial" w:cs="Arial"/>
          <w:sz w:val="24"/>
          <w:szCs w:val="24"/>
        </w:rPr>
      </w:pPr>
    </w:p>
    <w:p w14:paraId="61A6DE8F" w14:textId="77777777" w:rsidR="00416955" w:rsidRDefault="00416955" w:rsidP="00416955">
      <w:pPr>
        <w:spacing w:before="20" w:after="0" w:line="360" w:lineRule="auto"/>
        <w:ind w:right="49" w:firstLine="0"/>
        <w:rPr>
          <w:rFonts w:ascii="Arial" w:eastAsia="Arial" w:hAnsi="Arial" w:cs="Arial"/>
          <w:b/>
          <w:bCs/>
          <w:sz w:val="24"/>
          <w:szCs w:val="24"/>
        </w:rPr>
      </w:pPr>
      <w:bookmarkStart w:id="0" w:name="_74c2y8upp5ws" w:colFirst="0" w:colLast="0"/>
      <w:bookmarkEnd w:id="0"/>
    </w:p>
    <w:p w14:paraId="1226759A" w14:textId="77777777" w:rsidR="00416955" w:rsidRDefault="00416955" w:rsidP="00416955">
      <w:pPr>
        <w:spacing w:before="20" w:after="0" w:line="360" w:lineRule="auto"/>
        <w:ind w:right="49" w:firstLine="0"/>
        <w:rPr>
          <w:rFonts w:ascii="Arial" w:eastAsia="Arial" w:hAnsi="Arial" w:cs="Arial"/>
          <w:b/>
          <w:bCs/>
          <w:sz w:val="24"/>
          <w:szCs w:val="24"/>
        </w:rPr>
      </w:pPr>
    </w:p>
    <w:p w14:paraId="0E54550B" w14:textId="59B50FA8" w:rsidR="004C4786" w:rsidRDefault="00416955" w:rsidP="00416955">
      <w:pPr>
        <w:spacing w:before="20" w:after="0" w:line="360" w:lineRule="auto"/>
        <w:ind w:right="49" w:firstLine="0"/>
        <w:rPr>
          <w:rFonts w:ascii="Arial" w:eastAsia="Arial" w:hAnsi="Arial" w:cs="Arial"/>
          <w:b/>
          <w:bCs/>
          <w:sz w:val="24"/>
          <w:szCs w:val="24"/>
        </w:rPr>
      </w:pPr>
      <w:r w:rsidRPr="00416955">
        <w:rPr>
          <w:rFonts w:ascii="Arial" w:eastAsia="Arial" w:hAnsi="Arial" w:cs="Arial"/>
          <w:b/>
          <w:bCs/>
          <w:sz w:val="24"/>
          <w:szCs w:val="24"/>
        </w:rPr>
        <w:lastRenderedPageBreak/>
        <w:t>Nasr Hamid Abu Zayd’s Concept of Ma’na wa Maghza</w:t>
      </w:r>
      <w:r w:rsidR="00FE366C">
        <w:rPr>
          <w:rFonts w:ascii="Arial" w:eastAsia="Arial" w:hAnsi="Arial" w:cs="Arial"/>
          <w:b/>
          <w:bCs/>
          <w:sz w:val="24"/>
          <w:szCs w:val="24"/>
        </w:rPr>
        <w:t xml:space="preserve"> </w:t>
      </w:r>
    </w:p>
    <w:p w14:paraId="544F35AD" w14:textId="31284F65" w:rsidR="004C4786" w:rsidRDefault="00FE366C" w:rsidP="00416955">
      <w:pPr>
        <w:spacing w:after="0" w:line="360" w:lineRule="auto"/>
        <w:ind w:left="360" w:right="49" w:firstLine="720"/>
        <w:jc w:val="both"/>
        <w:rPr>
          <w:rFonts w:ascii="Arial" w:eastAsia="Arial" w:hAnsi="Arial" w:cs="Arial"/>
          <w:sz w:val="24"/>
          <w:szCs w:val="24"/>
        </w:rPr>
      </w:pPr>
      <w:r>
        <w:rPr>
          <w:rFonts w:ascii="Arial" w:eastAsia="Arial" w:hAnsi="Arial" w:cs="Arial"/>
          <w:sz w:val="24"/>
          <w:szCs w:val="24"/>
        </w:rPr>
        <w:t xml:space="preserve">Naṣr Ḥāmid Abū Zayd, </w:t>
      </w:r>
      <w:r w:rsidR="00926BE9" w:rsidRPr="00926BE9">
        <w:rPr>
          <w:rFonts w:ascii="Arial" w:eastAsia="Arial" w:hAnsi="Arial" w:cs="Arial"/>
          <w:sz w:val="24"/>
          <w:szCs w:val="24"/>
        </w:rPr>
        <w:t>first became acquainted with hermeneutics in 1978; at that time, he wrote al-Hirminiyūṭīqā wa Mu'dilat Tafsīr al-Naṣ. He even emphasized this by stating that hermeneutics is a modern science that has broadened his perspective on the world of Qur’anic interpretation</w:t>
      </w:r>
      <w:r>
        <w:rPr>
          <w:rFonts w:ascii="Arial" w:eastAsia="Arial" w:hAnsi="Arial" w:cs="Arial"/>
          <w:sz w:val="24"/>
          <w:szCs w:val="24"/>
        </w:rPr>
        <w:t xml:space="preserve">. (Pratama, Wibowo, &amp; Faizin, 2024) </w:t>
      </w:r>
      <w:r w:rsidR="00926BE9" w:rsidRPr="00926BE9">
        <w:rPr>
          <w:rFonts w:ascii="Arial" w:eastAsia="Arial" w:hAnsi="Arial" w:cs="Arial"/>
          <w:sz w:val="24"/>
          <w:szCs w:val="24"/>
        </w:rPr>
        <w:t>Abu Zayd has sought to apply constructive hermeneutic analysis to many of his studies of the Qur'an. He concludes that the central issue in Islamic studies is how to interpret texts in general, whether historical or religious</w:t>
      </w:r>
      <w:r w:rsidR="00926BE9">
        <w:rPr>
          <w:rFonts w:ascii="Arial" w:eastAsia="Arial" w:hAnsi="Arial" w:cs="Arial"/>
          <w:sz w:val="24"/>
          <w:szCs w:val="24"/>
        </w:rPr>
        <w:t>.</w:t>
      </w:r>
      <w:r>
        <w:rPr>
          <w:rFonts w:ascii="Arial" w:eastAsia="Arial" w:hAnsi="Arial" w:cs="Arial"/>
          <w:sz w:val="24"/>
          <w:szCs w:val="24"/>
        </w:rPr>
        <w:t xml:space="preserve"> (Abu Zaid, 2001) </w:t>
      </w:r>
      <w:r w:rsidR="00926BE9" w:rsidRPr="00926BE9">
        <w:rPr>
          <w:rFonts w:ascii="Arial" w:eastAsia="Arial" w:hAnsi="Arial" w:cs="Arial"/>
          <w:sz w:val="24"/>
          <w:szCs w:val="24"/>
        </w:rPr>
        <w:t>According to Abu Zayd, hermeneutics helps shift the focus of Qur’anic interpretation from the Qur’an itself to the interpreter (mufassir). He sought advice from various literary theorists and hermeneuticians, including Paul Ricoeur, T. S. Eliot, Wilhelm Dilthey, Martin Heidegger, Gadamer, Hirsh, and Goldman</w:t>
      </w:r>
      <w:r w:rsidR="00926BE9">
        <w:rPr>
          <w:rFonts w:ascii="Arial" w:eastAsia="Arial" w:hAnsi="Arial" w:cs="Arial"/>
          <w:sz w:val="24"/>
          <w:szCs w:val="24"/>
        </w:rPr>
        <w:t>.</w:t>
      </w:r>
    </w:p>
    <w:p w14:paraId="6C0EDB0F" w14:textId="73888B7A" w:rsidR="004C4786" w:rsidRPr="00DE307A" w:rsidRDefault="00926BE9" w:rsidP="00926BE9">
      <w:pPr>
        <w:spacing w:before="160" w:after="0" w:line="360" w:lineRule="auto"/>
        <w:ind w:left="360" w:right="49" w:firstLine="720"/>
        <w:jc w:val="both"/>
        <w:rPr>
          <w:rFonts w:ascii="Arial" w:eastAsia="Arial" w:hAnsi="Arial" w:cs="Arial"/>
          <w:sz w:val="24"/>
          <w:szCs w:val="24"/>
          <w:lang w:val="de-DE"/>
        </w:rPr>
      </w:pPr>
      <w:r w:rsidRPr="00926BE9">
        <w:rPr>
          <w:rFonts w:ascii="Arial" w:eastAsia="Arial" w:hAnsi="Arial" w:cs="Arial"/>
          <w:sz w:val="24"/>
          <w:szCs w:val="24"/>
        </w:rPr>
        <w:t xml:space="preserve">Nasr Hamid Abu Zayd integrates Gadamer’s thought into Qur’anic studies to accommodate interpretive freedom and the reader’s unique position. However, to avoid the pitfalls of relativism in understanding, he also applies objective hermeneutics—a approach emphasized by Paul Ricoeur, who asserts that readers can arrive at objective meaning through the interpretation of textual signs. Within this framework, the interpreter first dissects the meaning of a symbol before deriving its significance based on a contemporary perspective. The synthesis of the ideas of these two Western hermeneutical figures ultimately gave rise to two fundamental concepts in Abu Zayd’s methodology: meaning (ma’na), which is historical in nature, and significance (maghza), which is contextual in nature. This idea subsequently exerted a major influence on the discourse of Islamic studies in Indonesia, particularly through the role of Sahiron Syamsuddin, </w:t>
      </w:r>
      <w:r w:rsidRPr="00926BE9">
        <w:rPr>
          <w:rFonts w:ascii="Arial" w:eastAsia="Arial" w:hAnsi="Arial" w:cs="Arial"/>
          <w:sz w:val="24"/>
          <w:szCs w:val="24"/>
        </w:rPr>
        <w:lastRenderedPageBreak/>
        <w:t>a professor at UIN Sunan Kalijaga, who actively promoted this approach in contemporary exegetical studies</w:t>
      </w:r>
      <w:r w:rsidR="00FE366C" w:rsidRPr="00DE307A">
        <w:rPr>
          <w:rFonts w:ascii="Arial" w:eastAsia="Arial" w:hAnsi="Arial" w:cs="Arial"/>
          <w:sz w:val="24"/>
          <w:szCs w:val="24"/>
          <w:lang w:val="de-DE"/>
        </w:rPr>
        <w:t>. (Fadilah, 2019)</w:t>
      </w:r>
    </w:p>
    <w:p w14:paraId="10F6C2D1" w14:textId="4C88DD95" w:rsidR="004C4786" w:rsidRPr="00DE307A" w:rsidRDefault="00926BE9" w:rsidP="00B14165">
      <w:pPr>
        <w:spacing w:before="160" w:after="0" w:line="360" w:lineRule="auto"/>
        <w:ind w:left="360" w:right="49" w:firstLine="720"/>
        <w:jc w:val="both"/>
        <w:rPr>
          <w:rFonts w:ascii="Arial" w:eastAsia="Arial" w:hAnsi="Arial" w:cs="Arial"/>
          <w:sz w:val="24"/>
          <w:szCs w:val="24"/>
          <w:lang w:val="de-DE"/>
        </w:rPr>
      </w:pPr>
      <w:r w:rsidRPr="00926BE9">
        <w:rPr>
          <w:rFonts w:ascii="Arial" w:eastAsia="Arial" w:hAnsi="Arial" w:cs="Arial"/>
          <w:sz w:val="24"/>
          <w:szCs w:val="24"/>
          <w:lang w:val="de-DE"/>
        </w:rPr>
        <w:t>Sahiron Syamsuddin further developed the ideas of Fazlur Rahman and Abu Zayd by formulating the theory of Ma’na wa maghza. In this approach, an interpreter is required to first explore the original or objective meaning of the text as understood by the Qur’an’s original audience, before then formulating the significance of its message for the contemporary context. Although this theory bears similarities to Fazlur Rahman’s “Double Movement” method and Abdullah Saeed’s “Contextual Approach,” there is a fundamental difference in scope. While the previous approaches tended to be limited to the interpretation of legal verses, the Ma’na wa maghza theory is intended to be a more comprehensive tool capable of analyzing the entire scope of discussion within the Qur’anic text</w:t>
      </w:r>
      <w:r w:rsidR="00FE366C" w:rsidRPr="00DE307A">
        <w:rPr>
          <w:rFonts w:ascii="Arial" w:eastAsia="Arial" w:hAnsi="Arial" w:cs="Arial"/>
          <w:sz w:val="24"/>
          <w:szCs w:val="24"/>
          <w:lang w:val="de-DE"/>
        </w:rPr>
        <w:t>. (Syamsuddin, 2017)</w:t>
      </w:r>
    </w:p>
    <w:p w14:paraId="659C82D9" w14:textId="51706820" w:rsidR="004C4786" w:rsidRPr="00DE307A" w:rsidRDefault="00926BE9" w:rsidP="00B14165">
      <w:pPr>
        <w:spacing w:before="160" w:after="0" w:line="360" w:lineRule="auto"/>
        <w:ind w:left="360" w:right="49" w:firstLine="720"/>
        <w:jc w:val="both"/>
        <w:rPr>
          <w:rFonts w:ascii="Arial" w:eastAsia="Arial" w:hAnsi="Arial" w:cs="Arial"/>
          <w:sz w:val="24"/>
          <w:szCs w:val="24"/>
          <w:lang w:val="de-DE"/>
        </w:rPr>
      </w:pPr>
      <w:r w:rsidRPr="00926BE9">
        <w:rPr>
          <w:rFonts w:ascii="Arial" w:eastAsia="Arial" w:hAnsi="Arial" w:cs="Arial"/>
          <w:sz w:val="24"/>
          <w:szCs w:val="24"/>
          <w:lang w:val="de-DE"/>
        </w:rPr>
        <w:t>The hermeneutic approach based on the concepts of ma’na and maghza is a very new idea in Islamic studies. This theory consists of three stages of interpretation. First, seeking an understanding of history (al-ma’na al-tarikh), then seeking the phenomenal meaning of history (maghza al-tarikh). The search for the historical meaning and the phenomenal meaning of history requires a linguistic study of the Qur’an, an examination of intratextual and intertextual relationships, an analysis of the historical context of revelation, and an exploration of the maqashid and maghza of the verses. We borrow Jorge Gracia’s concepts of macro and micro to understand the construction of the historical context. Asbabun nuzul is part of the micro-context, whereas the macro-context consists of the overall conditions—including traditions, legal systems, and social structures—that surrounded and were related to Arab society in the seventh century. The third step involves identifying the dynamic, contemporary relationship (al-</w:t>
      </w:r>
      <w:r w:rsidRPr="00926BE9">
        <w:rPr>
          <w:rFonts w:ascii="Arial" w:eastAsia="Arial" w:hAnsi="Arial" w:cs="Arial"/>
          <w:sz w:val="24"/>
          <w:szCs w:val="24"/>
          <w:lang w:val="de-DE"/>
        </w:rPr>
        <w:lastRenderedPageBreak/>
        <w:t>maghza al-mutaharrik al-ma’asir) aimed at contextualizing the maqsad and maghza of the verses in the era in which the Qur’an is to be applied</w:t>
      </w:r>
      <w:r w:rsidR="00FE366C" w:rsidRPr="00DE307A">
        <w:rPr>
          <w:rFonts w:ascii="Arial" w:eastAsia="Arial" w:hAnsi="Arial" w:cs="Arial"/>
          <w:sz w:val="24"/>
          <w:szCs w:val="24"/>
          <w:lang w:val="de-DE"/>
        </w:rPr>
        <w:t>. (Lutfi, 2018)</w:t>
      </w:r>
    </w:p>
    <w:p w14:paraId="16EE89EE" w14:textId="77777777" w:rsidR="00A44EF9" w:rsidRPr="00A44EF9" w:rsidRDefault="00FE366C" w:rsidP="00A44EF9">
      <w:pPr>
        <w:spacing w:before="60" w:after="0" w:line="355" w:lineRule="auto"/>
        <w:ind w:left="360" w:right="49" w:firstLine="0"/>
        <w:jc w:val="both"/>
        <w:rPr>
          <w:rFonts w:ascii="Arial" w:eastAsia="Arial" w:hAnsi="Arial" w:cs="Arial"/>
          <w:sz w:val="24"/>
          <w:szCs w:val="24"/>
          <w:lang w:val="de-DE"/>
        </w:rPr>
      </w:pPr>
      <w:r w:rsidRPr="00DE307A">
        <w:rPr>
          <w:rFonts w:ascii="Arial" w:eastAsia="Arial" w:hAnsi="Arial" w:cs="Arial"/>
          <w:sz w:val="24"/>
          <w:szCs w:val="24"/>
          <w:lang w:val="de-DE"/>
        </w:rPr>
        <w:t xml:space="preserve">  </w:t>
      </w:r>
      <w:r w:rsidRPr="00DE307A">
        <w:rPr>
          <w:rFonts w:ascii="Arial" w:eastAsia="Arial" w:hAnsi="Arial" w:cs="Arial"/>
          <w:sz w:val="24"/>
          <w:szCs w:val="24"/>
          <w:lang w:val="de-DE"/>
        </w:rPr>
        <w:tab/>
      </w:r>
      <w:r w:rsidR="00A44EF9" w:rsidRPr="00A44EF9">
        <w:rPr>
          <w:rFonts w:ascii="Arial" w:eastAsia="Arial" w:hAnsi="Arial" w:cs="Arial"/>
          <w:sz w:val="24"/>
          <w:szCs w:val="24"/>
          <w:lang w:val="de-DE"/>
        </w:rPr>
        <w:t>Abu Zayd understands the difference between meaning and significance by referring to Hirsch. For him, meaning is the explicit meaning found in the text itself, while significance refers to how that meaning interacts with the reader. Meaning is a contextual interpretation that is almost always accurate due to its historical context. Before understanding the concept of ma’na wa maghza, one must first understand Abu Zayd’s epistemological position regarding the Qur’an as a text. Abu Zayd asserts that the Qur’an, although of divine origin, has become a linguistic text (nashsh lughawi) subject to the laws of language and communication. This process began with the first revelation, when God chose the Arabic language as His medium of communication with humanity.</w:t>
      </w:r>
    </w:p>
    <w:p w14:paraId="0943A6B8" w14:textId="7C6F6953" w:rsidR="004C4786" w:rsidRPr="00DE307A" w:rsidRDefault="00A44EF9" w:rsidP="00A44EF9">
      <w:pPr>
        <w:spacing w:before="60" w:after="0" w:line="355" w:lineRule="auto"/>
        <w:ind w:left="360" w:right="49" w:firstLine="0"/>
        <w:jc w:val="both"/>
        <w:rPr>
          <w:rFonts w:ascii="Arial" w:eastAsia="Arial" w:hAnsi="Arial" w:cs="Arial"/>
          <w:sz w:val="24"/>
          <w:szCs w:val="24"/>
          <w:lang w:val="de-DE"/>
        </w:rPr>
      </w:pPr>
      <w:r w:rsidRPr="00A44EF9">
        <w:rPr>
          <w:rFonts w:ascii="Arial" w:eastAsia="Arial" w:hAnsi="Arial" w:cs="Arial"/>
          <w:sz w:val="24"/>
          <w:szCs w:val="24"/>
          <w:lang w:val="de-DE"/>
        </w:rPr>
        <w:t xml:space="preserve">      By treating the Qur’an as a text, Abu Zayd does not intend to eliminate its sacred dimension; rather, he seeks to open the door to more dynamic and contextual readings. He strongly criticizes the view that regards the Qur’an as an entity existing outside of history. In his view, such a perspective actually closes the door to ijtihad and freezes Islam within the framework of 7th-century CE understanding</w:t>
      </w:r>
      <w:r w:rsidR="00FE366C" w:rsidRPr="00DE307A">
        <w:rPr>
          <w:rFonts w:ascii="Arial" w:eastAsia="Arial" w:hAnsi="Arial" w:cs="Arial"/>
          <w:sz w:val="24"/>
          <w:szCs w:val="24"/>
          <w:lang w:val="de-DE"/>
        </w:rPr>
        <w:t>. (Zaid 1992)</w:t>
      </w:r>
    </w:p>
    <w:p w14:paraId="0A60DCF4" w14:textId="77777777" w:rsidR="0068410C" w:rsidRDefault="0068410C" w:rsidP="0068410C">
      <w:pPr>
        <w:spacing w:after="0" w:line="360" w:lineRule="auto"/>
        <w:ind w:left="284" w:right="49" w:firstLine="0"/>
        <w:jc w:val="both"/>
        <w:rPr>
          <w:rFonts w:ascii="Arial" w:eastAsia="Arial" w:hAnsi="Arial" w:cs="Arial"/>
          <w:b/>
          <w:bCs/>
          <w:sz w:val="24"/>
          <w:szCs w:val="24"/>
          <w:lang w:val="de-DE"/>
        </w:rPr>
      </w:pPr>
      <w:r w:rsidRPr="0068410C">
        <w:rPr>
          <w:rFonts w:ascii="Arial" w:eastAsia="Arial" w:hAnsi="Arial" w:cs="Arial"/>
          <w:b/>
          <w:bCs/>
          <w:sz w:val="24"/>
          <w:szCs w:val="24"/>
          <w:lang w:val="de-DE"/>
        </w:rPr>
        <w:t>Definition and Essence of Ma’na (Meaning)</w:t>
      </w:r>
    </w:p>
    <w:p w14:paraId="25CC249F" w14:textId="77777777" w:rsidR="0068410C" w:rsidRDefault="0068410C" w:rsidP="00B14165">
      <w:pPr>
        <w:spacing w:after="0" w:line="360" w:lineRule="auto"/>
        <w:ind w:left="360" w:right="49" w:firstLine="720"/>
        <w:jc w:val="both"/>
        <w:rPr>
          <w:rFonts w:ascii="Arial" w:eastAsia="Arial" w:hAnsi="Arial" w:cs="Arial"/>
          <w:sz w:val="24"/>
          <w:szCs w:val="24"/>
          <w:lang w:val="de-DE"/>
        </w:rPr>
      </w:pPr>
      <w:r w:rsidRPr="0068410C">
        <w:rPr>
          <w:rFonts w:ascii="Arial" w:eastAsia="Arial" w:hAnsi="Arial" w:cs="Arial"/>
          <w:sz w:val="24"/>
          <w:szCs w:val="24"/>
          <w:lang w:val="de-DE"/>
        </w:rPr>
        <w:t xml:space="preserve">Within Abu Zayd’s theoretical framework, the term ma’na refers to the original or historical meaning contained within the Qur’anic text, as determined by the linguistic and socio-historical context at the time of revelation. Ma’na is the first and most fundamental layer in the process of textual interpretation. Epistemologically, ma'na is relatively fixed (syibh tsabit) because it is bound to the linguistic codes of 7th-century CE Arabic </w:t>
      </w:r>
      <w:r w:rsidRPr="0068410C">
        <w:rPr>
          <w:rFonts w:ascii="Arial" w:eastAsia="Arial" w:hAnsi="Arial" w:cs="Arial"/>
          <w:sz w:val="24"/>
          <w:szCs w:val="24"/>
          <w:lang w:val="de-DE"/>
        </w:rPr>
        <w:lastRenderedPageBreak/>
        <w:t>and the historical situation in Arabia at that time. (Saussure 1959) Abu Zayd distinguishes ma’na into two dimensions: first, ma’na al-lafdzhi (lexical meaning), which is the meaning of the words of the Qur’an based on classical Arabic dictionaries and the context of their usage in the Arabic language at the time of revelation; and second, ma'na al-siyaqi (contextual meaning), which is the meaning formed through the interaction between textual elements and the surrounding communicative situation. These two layers must be carefully reconstructed through philological approaches and historical analysis. (Zayd 2005)</w:t>
      </w:r>
    </w:p>
    <w:p w14:paraId="1E2F910F" w14:textId="05933DA1" w:rsidR="004C4786" w:rsidRPr="00DE307A" w:rsidRDefault="0068410C" w:rsidP="00B14165">
      <w:pPr>
        <w:spacing w:after="0" w:line="360" w:lineRule="auto"/>
        <w:ind w:left="360" w:right="49" w:firstLine="720"/>
        <w:jc w:val="both"/>
        <w:rPr>
          <w:rFonts w:ascii="Arial" w:eastAsia="Arial" w:hAnsi="Arial" w:cs="Arial"/>
          <w:sz w:val="24"/>
          <w:szCs w:val="24"/>
          <w:lang w:val="de-DE"/>
        </w:rPr>
      </w:pPr>
      <w:r w:rsidRPr="0068410C">
        <w:rPr>
          <w:rFonts w:ascii="Arial" w:eastAsia="Arial" w:hAnsi="Arial" w:cs="Arial"/>
          <w:sz w:val="24"/>
          <w:szCs w:val="24"/>
          <w:lang w:val="de-DE"/>
        </w:rPr>
        <w:t>To uncover the meaning, Abu Zayd recommends the following scientific methods: (1) an in-depth linguistic analysis of the Qur’an’s vocabulary within the context of pre-Islamic Arabia and early Islam; (2) a critical and comprehensive study of the asbab al-nuzul; (3) an analysis of intertextuality among the verses of the Qur’an (al-Qur’an yufassiru ba’dhuhu ba’dhan); and (4) an examination of the exegetical traditions of the Companions and the Tabi’in as the closest historical witnesses to the process of revelation</w:t>
      </w:r>
      <w:r w:rsidR="00FE366C" w:rsidRPr="00DE307A">
        <w:rPr>
          <w:rFonts w:ascii="Arial" w:eastAsia="Arial" w:hAnsi="Arial" w:cs="Arial"/>
          <w:sz w:val="24"/>
          <w:szCs w:val="24"/>
          <w:lang w:val="de-DE"/>
        </w:rPr>
        <w:t>. (Abu Zayd 1992)</w:t>
      </w:r>
    </w:p>
    <w:p w14:paraId="21DCB069" w14:textId="4EE8E471" w:rsidR="004C4786" w:rsidRPr="00DE307A" w:rsidRDefault="0068410C" w:rsidP="00B14165">
      <w:pPr>
        <w:spacing w:before="60" w:after="0" w:line="355" w:lineRule="auto"/>
        <w:ind w:left="360" w:right="49" w:firstLine="0"/>
        <w:jc w:val="both"/>
        <w:rPr>
          <w:rFonts w:ascii="Arial" w:eastAsia="Arial" w:hAnsi="Arial" w:cs="Arial"/>
          <w:b/>
          <w:bCs/>
          <w:sz w:val="24"/>
          <w:szCs w:val="24"/>
          <w:lang w:val="de-DE"/>
        </w:rPr>
      </w:pPr>
      <w:r w:rsidRPr="0068410C">
        <w:rPr>
          <w:rFonts w:ascii="Arial" w:eastAsia="Arial" w:hAnsi="Arial" w:cs="Arial"/>
          <w:b/>
          <w:bCs/>
          <w:sz w:val="24"/>
          <w:szCs w:val="24"/>
          <w:lang w:val="de-DE"/>
        </w:rPr>
        <w:t>Definition and Essence of Maghza (Significance)</w:t>
      </w:r>
    </w:p>
    <w:p w14:paraId="2A687C52" w14:textId="66F135BC" w:rsidR="004C4786" w:rsidRPr="00DE307A" w:rsidRDefault="0068410C" w:rsidP="00B14165">
      <w:pPr>
        <w:spacing w:before="60" w:after="0" w:line="355" w:lineRule="auto"/>
        <w:ind w:left="360" w:right="49" w:firstLine="720"/>
        <w:jc w:val="both"/>
        <w:rPr>
          <w:rFonts w:ascii="Arial" w:eastAsia="Arial" w:hAnsi="Arial" w:cs="Arial"/>
          <w:sz w:val="24"/>
          <w:szCs w:val="24"/>
          <w:lang w:val="de-DE"/>
        </w:rPr>
      </w:pPr>
      <w:r w:rsidRPr="0068410C">
        <w:rPr>
          <w:rFonts w:ascii="Arial" w:eastAsia="Arial" w:hAnsi="Arial" w:cs="Arial"/>
          <w:sz w:val="24"/>
          <w:szCs w:val="24"/>
          <w:lang w:val="de-DE"/>
        </w:rPr>
        <w:t>If ma'na relates to the historical dimension of a text, then maghza (which literally means “core,” “essence,” or “significance”) relates to a deeper, transcendental dimension of meaning. Maghza is the “main message” or “true purpose” that the text seeks to convey to its readers, which transcends specific historical and cultural boundaries. Maghza is dynamic and ever-living, as it speaks to every generation of humanity in every age</w:t>
      </w:r>
      <w:r w:rsidR="00FE366C" w:rsidRPr="00DE307A">
        <w:rPr>
          <w:rFonts w:ascii="Arial" w:eastAsia="Arial" w:hAnsi="Arial" w:cs="Arial"/>
          <w:sz w:val="24"/>
          <w:szCs w:val="24"/>
          <w:lang w:val="de-DE"/>
        </w:rPr>
        <w:t>. (Zayd 2005)</w:t>
      </w:r>
    </w:p>
    <w:p w14:paraId="057616E8" w14:textId="48976B18" w:rsidR="004C4786" w:rsidRPr="00DE307A" w:rsidRDefault="0068410C" w:rsidP="00B14165">
      <w:pPr>
        <w:spacing w:before="60" w:after="0" w:line="355" w:lineRule="auto"/>
        <w:ind w:left="360" w:right="49" w:firstLine="720"/>
        <w:jc w:val="both"/>
        <w:rPr>
          <w:rFonts w:ascii="Arial" w:eastAsia="Arial" w:hAnsi="Arial" w:cs="Arial"/>
          <w:sz w:val="24"/>
          <w:szCs w:val="24"/>
          <w:lang w:val="de-DE"/>
        </w:rPr>
      </w:pPr>
      <w:r w:rsidRPr="0068410C">
        <w:rPr>
          <w:rFonts w:ascii="Arial" w:eastAsia="Arial" w:hAnsi="Arial" w:cs="Arial"/>
          <w:sz w:val="24"/>
          <w:szCs w:val="24"/>
          <w:lang w:val="de-DE"/>
        </w:rPr>
        <w:t xml:space="preserve">Sahiron Syamsuddin, who further developed this concept, explains that maghza is the “intended meaning” of a text that must be discovered </w:t>
      </w:r>
      <w:r w:rsidRPr="0068410C">
        <w:rPr>
          <w:rFonts w:ascii="Arial" w:eastAsia="Arial" w:hAnsi="Arial" w:cs="Arial"/>
          <w:sz w:val="24"/>
          <w:szCs w:val="24"/>
          <w:lang w:val="de-DE"/>
        </w:rPr>
        <w:lastRenderedPageBreak/>
        <w:t>through a process of deep reflection on its historical ma’na. Maghza is not merely a free interpretation or the reader’s subjective projection onto the text, but rather an organic extension of the ma’na that has already been scientifically reconstructed. In determining maghza, Abu Zayd was inspired by Gadamer’s concept of the “fusion of horizons,” in which understanding occurs through the encounter between the horizon of the text and the horizon of the reader. This means that the maghza of a text does not lie entirely within the text itself, but is formed in a dialogical process between the text and the reader’s new context</w:t>
      </w:r>
      <w:r w:rsidR="00FE366C" w:rsidRPr="00DE307A">
        <w:rPr>
          <w:rFonts w:ascii="Arial" w:eastAsia="Arial" w:hAnsi="Arial" w:cs="Arial"/>
          <w:sz w:val="24"/>
          <w:szCs w:val="24"/>
          <w:lang w:val="de-DE"/>
        </w:rPr>
        <w:t>. (Syamsuddin 2010)</w:t>
      </w:r>
    </w:p>
    <w:p w14:paraId="1E596FD7" w14:textId="5B64F05F" w:rsidR="004C4786" w:rsidRPr="00DE307A" w:rsidRDefault="0068410C" w:rsidP="00B14165">
      <w:pPr>
        <w:spacing w:before="60" w:after="0" w:line="355" w:lineRule="auto"/>
        <w:ind w:right="49" w:firstLine="360"/>
        <w:jc w:val="both"/>
        <w:rPr>
          <w:rFonts w:ascii="Arial" w:eastAsia="Arial" w:hAnsi="Arial" w:cs="Arial"/>
          <w:b/>
          <w:bCs/>
          <w:sz w:val="24"/>
          <w:szCs w:val="24"/>
          <w:lang w:val="de-DE"/>
        </w:rPr>
      </w:pPr>
      <w:r w:rsidRPr="0068410C">
        <w:rPr>
          <w:rFonts w:ascii="Arial" w:eastAsia="Arial" w:hAnsi="Arial" w:cs="Arial"/>
          <w:b/>
          <w:bCs/>
          <w:sz w:val="24"/>
          <w:szCs w:val="24"/>
          <w:lang w:val="de-DE"/>
        </w:rPr>
        <w:t>The Dialectical Relationship Between Ma’na and Maghza</w:t>
      </w:r>
    </w:p>
    <w:p w14:paraId="69C5484D" w14:textId="77777777" w:rsidR="0068410C" w:rsidRPr="0068410C" w:rsidRDefault="0068410C" w:rsidP="0068410C">
      <w:pPr>
        <w:spacing w:before="60" w:after="0" w:line="355" w:lineRule="auto"/>
        <w:ind w:left="360" w:right="49" w:firstLine="720"/>
        <w:jc w:val="both"/>
        <w:rPr>
          <w:rFonts w:ascii="Arial" w:eastAsia="Arial" w:hAnsi="Arial" w:cs="Arial"/>
          <w:sz w:val="24"/>
          <w:szCs w:val="24"/>
          <w:lang w:val="de-DE"/>
        </w:rPr>
      </w:pPr>
      <w:r w:rsidRPr="0068410C">
        <w:rPr>
          <w:rFonts w:ascii="Arial" w:eastAsia="Arial" w:hAnsi="Arial" w:cs="Arial"/>
          <w:sz w:val="24"/>
          <w:szCs w:val="24"/>
          <w:lang w:val="de-DE"/>
        </w:rPr>
        <w:t>The relationship between ma'na and maghza is neither dichotomous nor hierarchically linear, but rather dialectical and mutually dependent. Ma'na is the foundation for the discovery of maghza; without an accurate and scientific reconstruction of ma'na, efforts to discover maghza will easily slip into arbitrary interpretation (al-tafsir al-tasyahhi). Conversely, maghza provides relevance and vitality to ma’na, which, if left to stand on its own, would become nothing more than a lifeless historical artifact.</w:t>
      </w:r>
    </w:p>
    <w:p w14:paraId="54058ED5" w14:textId="013F5D42" w:rsidR="004C4786" w:rsidRPr="00DE307A" w:rsidRDefault="0068410C" w:rsidP="0068410C">
      <w:pPr>
        <w:spacing w:before="60" w:after="0" w:line="355" w:lineRule="auto"/>
        <w:ind w:left="360" w:right="49" w:firstLine="720"/>
        <w:jc w:val="both"/>
        <w:rPr>
          <w:rFonts w:ascii="Arial" w:eastAsia="Arial" w:hAnsi="Arial" w:cs="Arial"/>
          <w:sz w:val="24"/>
          <w:szCs w:val="24"/>
          <w:lang w:val="de-DE"/>
        </w:rPr>
      </w:pPr>
      <w:r w:rsidRPr="0068410C">
        <w:rPr>
          <w:rFonts w:ascii="Arial" w:eastAsia="Arial" w:hAnsi="Arial" w:cs="Arial"/>
          <w:sz w:val="24"/>
          <w:szCs w:val="24"/>
          <w:lang w:val="de-DE"/>
        </w:rPr>
        <w:t>Abu Zayd illustrates this relationship using the analogy of a tree trunk and its fruit. Ma’na is the tree trunk that supports and serves as the root of all interpretive growth. Maghza is the fruit produced by that growth, which—though it varies according to the season and environmental conditions (the context of the era and the reader)—remains organically connected to the same tree trunk. This is what allows the Islamic interpretive tradition to be both continuous and innovative</w:t>
      </w:r>
      <w:r w:rsidR="00FE366C" w:rsidRPr="00DE307A">
        <w:rPr>
          <w:rFonts w:ascii="Arial" w:eastAsia="Arial" w:hAnsi="Arial" w:cs="Arial"/>
          <w:sz w:val="24"/>
          <w:szCs w:val="24"/>
          <w:lang w:val="de-DE"/>
        </w:rPr>
        <w:t>. (Zayd 2005)</w:t>
      </w:r>
    </w:p>
    <w:p w14:paraId="7445585E" w14:textId="4BDFC5B8" w:rsidR="004C4786" w:rsidRPr="00DE307A" w:rsidRDefault="0068410C" w:rsidP="00B14165">
      <w:pPr>
        <w:spacing w:before="60" w:after="0" w:line="355" w:lineRule="auto"/>
        <w:ind w:right="49" w:firstLine="360"/>
        <w:jc w:val="both"/>
        <w:rPr>
          <w:rFonts w:ascii="Arial" w:eastAsia="Arial" w:hAnsi="Arial" w:cs="Arial"/>
          <w:b/>
          <w:bCs/>
          <w:sz w:val="24"/>
          <w:szCs w:val="24"/>
          <w:lang w:val="de-DE"/>
        </w:rPr>
      </w:pPr>
      <w:r w:rsidRPr="0068410C">
        <w:rPr>
          <w:rFonts w:ascii="Arial" w:eastAsia="Arial" w:hAnsi="Arial" w:cs="Arial"/>
          <w:b/>
          <w:bCs/>
          <w:sz w:val="24"/>
          <w:szCs w:val="24"/>
          <w:lang w:val="de-DE"/>
        </w:rPr>
        <w:t>Methodology for Applying the Concept of Ma’na wa Maghza</w:t>
      </w:r>
    </w:p>
    <w:p w14:paraId="235C09EF" w14:textId="65C7DF01" w:rsidR="004C4786" w:rsidRDefault="0068410C" w:rsidP="00B14165">
      <w:pPr>
        <w:spacing w:before="60" w:after="0" w:line="355" w:lineRule="auto"/>
        <w:ind w:left="360" w:right="49" w:firstLine="720"/>
        <w:jc w:val="both"/>
        <w:rPr>
          <w:rFonts w:ascii="Arial" w:eastAsia="Arial" w:hAnsi="Arial" w:cs="Arial"/>
          <w:sz w:val="24"/>
          <w:szCs w:val="24"/>
        </w:rPr>
      </w:pPr>
      <w:r w:rsidRPr="0068410C">
        <w:rPr>
          <w:rFonts w:ascii="Arial" w:eastAsia="Arial" w:hAnsi="Arial" w:cs="Arial"/>
          <w:sz w:val="24"/>
          <w:szCs w:val="24"/>
          <w:lang w:val="de-DE"/>
        </w:rPr>
        <w:t xml:space="preserve">Abu Zayd not only formulates a theoretical framework but also offers a methodological procedure that can be followed in applying the concept of </w:t>
      </w:r>
      <w:r w:rsidRPr="0068410C">
        <w:rPr>
          <w:rFonts w:ascii="Arial" w:eastAsia="Arial" w:hAnsi="Arial" w:cs="Arial"/>
          <w:sz w:val="24"/>
          <w:szCs w:val="24"/>
          <w:lang w:val="de-DE"/>
        </w:rPr>
        <w:lastRenderedPageBreak/>
        <w:t>ma’na wa maghza. Broadly speaking, this methodology can be outlined in the following four main steps: First, reconstruction of the historical context. Second, linguistic analysis. Third, identification of universal values (al-qiyam al-kulliya). Fourth, reactualization in a contemporary context. The final stage involves applying the discovered maghza to the context of contemporary life. This process of reactualization must be carried out creatively and responsibly, while remaining mindful of the maqashid al-sharia and not disregarding the boundaries established by the Islamic scholarly tradition as a whole</w:t>
      </w:r>
      <w:r w:rsidR="00FE366C" w:rsidRPr="00DE307A">
        <w:rPr>
          <w:rFonts w:ascii="Arial" w:eastAsia="Arial" w:hAnsi="Arial" w:cs="Arial"/>
          <w:sz w:val="24"/>
          <w:szCs w:val="24"/>
          <w:lang w:val="de-DE"/>
        </w:rPr>
        <w:t xml:space="preserve">. </w:t>
      </w:r>
      <w:r w:rsidR="00FE366C">
        <w:rPr>
          <w:rFonts w:ascii="Arial" w:eastAsia="Arial" w:hAnsi="Arial" w:cs="Arial"/>
          <w:sz w:val="24"/>
          <w:szCs w:val="24"/>
        </w:rPr>
        <w:t>(Abu Zayd, Rethinking the Qur'an: Toward a Humanistics 2004)</w:t>
      </w:r>
    </w:p>
    <w:p w14:paraId="1CF5CC00" w14:textId="25DA1C69" w:rsidR="004C4786" w:rsidRDefault="0068410C" w:rsidP="00B14165">
      <w:pPr>
        <w:spacing w:before="60" w:after="0" w:line="355" w:lineRule="auto"/>
        <w:ind w:left="360" w:right="49" w:firstLine="720"/>
        <w:jc w:val="both"/>
        <w:rPr>
          <w:rFonts w:ascii="Arial" w:eastAsia="Arial" w:hAnsi="Arial" w:cs="Arial"/>
          <w:sz w:val="24"/>
          <w:szCs w:val="24"/>
        </w:rPr>
      </w:pPr>
      <w:r w:rsidRPr="0068410C">
        <w:rPr>
          <w:rFonts w:ascii="Arial" w:eastAsia="Arial" w:hAnsi="Arial" w:cs="Arial"/>
          <w:sz w:val="24"/>
          <w:szCs w:val="24"/>
        </w:rPr>
        <w:t>To clarify the explanation of the concepts of ma’na and mag</w:t>
      </w:r>
      <w:r w:rsidR="00C06B78">
        <w:rPr>
          <w:rFonts w:ascii="Arial" w:eastAsia="Arial" w:hAnsi="Arial" w:cs="Arial"/>
          <w:sz w:val="24"/>
          <w:szCs w:val="24"/>
        </w:rPr>
        <w:t>h</w:t>
      </w:r>
      <w:r w:rsidRPr="0068410C">
        <w:rPr>
          <w:rFonts w:ascii="Arial" w:eastAsia="Arial" w:hAnsi="Arial" w:cs="Arial"/>
          <w:sz w:val="24"/>
          <w:szCs w:val="24"/>
        </w:rPr>
        <w:t>za, we can present an example of an analysis of Surah An-Nisa, verse 3, regarding polygamy</w:t>
      </w:r>
      <w:r w:rsidR="00FE366C">
        <w:rPr>
          <w:rFonts w:ascii="Arial" w:eastAsia="Arial" w:hAnsi="Arial" w:cs="Arial"/>
          <w:sz w:val="24"/>
          <w:szCs w:val="24"/>
        </w:rPr>
        <w:t>.</w:t>
      </w:r>
    </w:p>
    <w:p w14:paraId="1C9FDBFE" w14:textId="77777777" w:rsidR="004C4786" w:rsidRDefault="00FE366C">
      <w:pPr>
        <w:spacing w:before="60" w:after="0" w:line="355" w:lineRule="auto"/>
        <w:ind w:left="360" w:firstLine="720"/>
        <w:jc w:val="right"/>
        <w:rPr>
          <w:rFonts w:ascii="Arial" w:eastAsia="Arial" w:hAnsi="Arial" w:cs="Arial"/>
          <w:sz w:val="24"/>
          <w:szCs w:val="24"/>
        </w:rPr>
      </w:pPr>
      <w:r>
        <w:rPr>
          <w:rFonts w:ascii="Arial" w:eastAsia="Arial" w:hAnsi="Arial" w:cs="Arial"/>
          <w:sz w:val="24"/>
          <w:szCs w:val="24"/>
          <w:rtl/>
        </w:rPr>
        <w:t>وَإِنْ خِفْتُمْ أَلَّا تُقْسِطُوا۟ فِى ٱلْيَتَٰمَىٰ فَٱنكِحُوا۟ مَا طَابَ لَكُم مِّنَ ٱلنِّسَآءِ مَثْنَىٰ وَثُلَٰثَ وَرُبَٰعَ ۖ فَإِنْ خِفْتُمْ أَلَّا تَعْدِلُوا۟ فَوَٰحِدَةً أَوْ مَا مَلَٰكَتْ أَيْمَٰنُكُمْ ۚ ذَٰلِكَ أَدْنَىٰٓ أَلَّا تَعُولُو</w:t>
      </w:r>
    </w:p>
    <w:p w14:paraId="0D29AE1D" w14:textId="77777777" w:rsidR="0068410C" w:rsidRDefault="0068410C">
      <w:pPr>
        <w:spacing w:before="60" w:after="0" w:line="355" w:lineRule="auto"/>
        <w:ind w:left="360" w:firstLine="720"/>
        <w:jc w:val="both"/>
        <w:rPr>
          <w:rFonts w:ascii="Arial" w:eastAsia="Arial" w:hAnsi="Arial" w:cs="Arial"/>
          <w:sz w:val="24"/>
          <w:szCs w:val="24"/>
        </w:rPr>
      </w:pPr>
      <w:r w:rsidRPr="0068410C">
        <w:rPr>
          <w:rFonts w:ascii="Arial" w:eastAsia="Arial" w:hAnsi="Arial" w:cs="Arial"/>
          <w:sz w:val="24"/>
          <w:szCs w:val="24"/>
        </w:rPr>
        <w:t>Meaning: And if you fear that you will not be able to treat orphaned women fairly (if you marry them), then marry (other) women whom you find pleasing: two, three, or four. But if you fear that you will not be able to treat them fairly, then marry only one, or the female slaves you possess. That is more likely to prevent you from being unjust. (QS. An-Nisa:3)</w:t>
      </w:r>
    </w:p>
    <w:p w14:paraId="69709967" w14:textId="14AA229E" w:rsidR="004C4786" w:rsidRPr="00DE307A" w:rsidRDefault="0068410C">
      <w:pPr>
        <w:spacing w:before="60" w:after="0" w:line="355" w:lineRule="auto"/>
        <w:ind w:left="360" w:firstLine="720"/>
        <w:jc w:val="both"/>
        <w:rPr>
          <w:rFonts w:ascii="Arial" w:eastAsia="Arial" w:hAnsi="Arial" w:cs="Arial"/>
          <w:sz w:val="24"/>
          <w:szCs w:val="24"/>
          <w:lang w:val="de-DE"/>
        </w:rPr>
      </w:pPr>
      <w:r w:rsidRPr="0068410C">
        <w:rPr>
          <w:rFonts w:ascii="Arial" w:eastAsia="Arial" w:hAnsi="Arial" w:cs="Arial"/>
          <w:sz w:val="24"/>
          <w:szCs w:val="24"/>
          <w:lang w:val="de-DE"/>
        </w:rPr>
        <w:t xml:space="preserve">Nasr Hamid analyzes this verse in three stages. First, he examines the context in which the verse was revealed, as well as its connection to pre-Islamic traditions in Arabia. According to him, before the advent of Islam, the practice of polygamy had no clear limit on the number of wives and could be practiced without specific restrictions. The advent of the Qur’an then brought about a change by setting a maximum limit of four wives. The second stage involves understanding the verse within the </w:t>
      </w:r>
      <w:r w:rsidRPr="0068410C">
        <w:rPr>
          <w:rFonts w:ascii="Arial" w:eastAsia="Arial" w:hAnsi="Arial" w:cs="Arial"/>
          <w:sz w:val="24"/>
          <w:szCs w:val="24"/>
          <w:lang w:val="de-DE"/>
        </w:rPr>
        <w:lastRenderedPageBreak/>
        <w:t>framework of the Qur’an as a whole. At this stage, Nasr Hamid seeks to explore the deeper and implicit meanings of the Qur’anic text. In his discussion of polygamy, he connects and compares two interrelated verses—Surah Al-Nisa’ verse 3 and Surah Al-Nisa’ verse 129—to gain a more comprehensive understanding of the Qur’an’s message regarding polygamy.</w:t>
      </w:r>
      <w:r w:rsidR="00FE366C" w:rsidRPr="00DE307A">
        <w:rPr>
          <w:rFonts w:ascii="Arial" w:eastAsia="Arial" w:hAnsi="Arial" w:cs="Arial"/>
          <w:sz w:val="24"/>
          <w:szCs w:val="24"/>
          <w:lang w:val="de-DE"/>
        </w:rPr>
        <w:t>.</w:t>
      </w:r>
    </w:p>
    <w:p w14:paraId="1FB9EAD9" w14:textId="77777777" w:rsidR="004C4786" w:rsidRDefault="00FE366C">
      <w:pPr>
        <w:spacing w:before="60" w:after="0" w:line="355" w:lineRule="auto"/>
        <w:ind w:left="360" w:firstLine="720"/>
        <w:jc w:val="right"/>
        <w:rPr>
          <w:rFonts w:ascii="Arial" w:eastAsia="Arial" w:hAnsi="Arial" w:cs="Arial"/>
          <w:sz w:val="24"/>
          <w:szCs w:val="24"/>
        </w:rPr>
      </w:pPr>
      <w:r>
        <w:rPr>
          <w:rFonts w:ascii="Arial" w:eastAsia="Arial" w:hAnsi="Arial" w:cs="Arial"/>
          <w:b/>
          <w:bCs/>
          <w:sz w:val="24"/>
          <w:szCs w:val="24"/>
          <w:rtl/>
        </w:rPr>
        <w:t>وَلَنْ تَسْتَطِيْعُوْٓا اَنْ تَعْدِلُوْا بَيْنَ النِّسَاۤءِ وَلَوْ حَرَصْتُمْ فَلَا تَمِيْلُوْا كُلَّ الْمَيْلِ فَتَذَرُوْهَا كَالْمُعَلَّقَةِ ۚ وَاِنْ تُصْلِحُوْا وَتَتَّقُوْا فَاِنَّ اللّٰهَ كَانَ غَفُوْرًا رَّحِيْمًا</w:t>
      </w:r>
      <w:r>
        <w:rPr>
          <w:rFonts w:ascii="Arial" w:eastAsia="Arial" w:hAnsi="Arial" w:cs="Arial"/>
          <w:sz w:val="24"/>
          <w:szCs w:val="24"/>
        </w:rPr>
        <w:t xml:space="preserve"> [</w:t>
      </w:r>
      <w:hyperlink r:id="rId8">
        <w:r>
          <w:rPr>
            <w:rFonts w:ascii="Arial" w:eastAsia="Arial" w:hAnsi="Arial" w:cs="Arial"/>
            <w:color w:val="1155CC"/>
            <w:sz w:val="24"/>
            <w:szCs w:val="24"/>
            <w:u w:val="single"/>
          </w:rPr>
          <w:t>1</w:t>
        </w:r>
      </w:hyperlink>
      <w:r>
        <w:rPr>
          <w:rFonts w:ascii="Arial" w:eastAsia="Arial" w:hAnsi="Arial" w:cs="Arial"/>
          <w:sz w:val="24"/>
          <w:szCs w:val="24"/>
        </w:rPr>
        <w:t>]</w:t>
      </w:r>
    </w:p>
    <w:p w14:paraId="1200C3EC" w14:textId="77777777" w:rsidR="0068410C" w:rsidRDefault="0068410C" w:rsidP="0068410C">
      <w:pPr>
        <w:spacing w:before="60" w:after="0" w:line="355" w:lineRule="auto"/>
        <w:ind w:left="360" w:firstLine="0"/>
        <w:jc w:val="both"/>
        <w:rPr>
          <w:rFonts w:ascii="Arial" w:eastAsia="Arial" w:hAnsi="Arial" w:cs="Arial"/>
          <w:sz w:val="24"/>
          <w:szCs w:val="24"/>
        </w:rPr>
      </w:pPr>
      <w:r w:rsidRPr="0068410C">
        <w:rPr>
          <w:rFonts w:ascii="Arial" w:eastAsia="Arial" w:hAnsi="Arial" w:cs="Arial"/>
          <w:sz w:val="24"/>
          <w:szCs w:val="24"/>
        </w:rPr>
        <w:t>Meaning: “And you will never be able to treat your wives equally, even if you wish to do so; therefore, do not show favoritism (toward the one you love) to the point that you neglect the others. And if you make amends and guard yourselves (against injustice), then indeed, Allah is Forgiving and Merciful.” (An-Nisa:129)</w:t>
      </w:r>
    </w:p>
    <w:p w14:paraId="734E4653" w14:textId="59D25AA9" w:rsidR="004C4786" w:rsidRDefault="0068410C">
      <w:pPr>
        <w:spacing w:before="60" w:after="0" w:line="355" w:lineRule="auto"/>
        <w:ind w:left="360" w:firstLine="720"/>
        <w:jc w:val="both"/>
        <w:rPr>
          <w:rFonts w:ascii="Arial" w:eastAsia="Arial" w:hAnsi="Arial" w:cs="Arial"/>
          <w:sz w:val="24"/>
          <w:szCs w:val="24"/>
        </w:rPr>
      </w:pPr>
      <w:r w:rsidRPr="0068410C">
        <w:rPr>
          <w:rFonts w:ascii="Arial" w:eastAsia="Arial" w:hAnsi="Arial" w:cs="Arial"/>
          <w:sz w:val="24"/>
          <w:szCs w:val="24"/>
          <w:lang w:val="de-DE"/>
        </w:rPr>
        <w:t>Nasr Hamid applies linguistic analysis to both verses. In Arabic linguistics, there are the concepts of “adad syarth” and “jawab syarth.” The word “if” in the verse above is an adad syarth, while the word “just” in the first verse is a fi’il syarth, and the word “someone” is a jawab syarth. The following verse (al-Nisa:129) affirms that acting justly is impossible for human beings, as indicated by the use of the word “lan,” which means “never.” From this, Nasr Hamid states that one of the conditions for polygamy is justice, but that justice is, in practice, impossible for human beings to achieve; thus, Nasr concludes that “polygamy is prohibited.” The final step is to propose a reform of Islamic law. In classical law, polygamy falls under the category of “permissible acts,” but Nasr Hamid argues that the term “permissibility” is inaccurate because polygamy actually constitutes a restriction on the previously unlimited practice of polygamy—it is not true permissibility</w:t>
      </w:r>
      <w:r w:rsidR="00FE366C" w:rsidRPr="00DE307A">
        <w:rPr>
          <w:rFonts w:ascii="Arial" w:eastAsia="Arial" w:hAnsi="Arial" w:cs="Arial"/>
          <w:sz w:val="24"/>
          <w:szCs w:val="24"/>
          <w:lang w:val="de-DE"/>
        </w:rPr>
        <w:t xml:space="preserve">. </w:t>
      </w:r>
      <w:r w:rsidR="00FE366C">
        <w:rPr>
          <w:rFonts w:ascii="Arial" w:eastAsia="Arial" w:hAnsi="Arial" w:cs="Arial"/>
          <w:sz w:val="24"/>
          <w:szCs w:val="24"/>
        </w:rPr>
        <w:t>(Hamdani 2016)</w:t>
      </w:r>
    </w:p>
    <w:p w14:paraId="6EDA2118" w14:textId="61C278A3" w:rsidR="0068410C" w:rsidRPr="0068410C" w:rsidRDefault="0068410C" w:rsidP="0068410C">
      <w:pPr>
        <w:pStyle w:val="ListParagraph"/>
        <w:numPr>
          <w:ilvl w:val="0"/>
          <w:numId w:val="3"/>
        </w:numPr>
        <w:spacing w:after="0" w:line="360" w:lineRule="auto"/>
        <w:ind w:left="284" w:right="49"/>
        <w:jc w:val="both"/>
        <w:rPr>
          <w:rFonts w:ascii="Arial" w:eastAsia="Arial" w:hAnsi="Arial" w:cs="Arial"/>
          <w:b/>
          <w:bCs/>
          <w:color w:val="000000"/>
          <w:sz w:val="24"/>
          <w:szCs w:val="24"/>
        </w:rPr>
      </w:pPr>
      <w:r w:rsidRPr="0068410C">
        <w:rPr>
          <w:rFonts w:ascii="Arial" w:eastAsia="Arial" w:hAnsi="Arial" w:cs="Arial"/>
          <w:b/>
          <w:bCs/>
          <w:color w:val="000000"/>
          <w:sz w:val="24"/>
          <w:szCs w:val="24"/>
        </w:rPr>
        <w:lastRenderedPageBreak/>
        <w:t>Conclusions</w:t>
      </w:r>
    </w:p>
    <w:p w14:paraId="6A4E3EDA" w14:textId="77777777" w:rsidR="0068410C" w:rsidRPr="0068410C" w:rsidRDefault="0068410C" w:rsidP="00960A2E">
      <w:pPr>
        <w:tabs>
          <w:tab w:val="left" w:pos="7655"/>
        </w:tabs>
        <w:spacing w:before="160" w:after="0" w:line="360" w:lineRule="auto"/>
        <w:ind w:right="49" w:firstLine="567"/>
        <w:jc w:val="both"/>
        <w:rPr>
          <w:rFonts w:ascii="Arial" w:eastAsia="Arial" w:hAnsi="Arial" w:cs="Arial"/>
          <w:sz w:val="24"/>
          <w:szCs w:val="24"/>
        </w:rPr>
      </w:pPr>
      <w:r w:rsidRPr="0068410C">
        <w:rPr>
          <w:rFonts w:ascii="Arial" w:eastAsia="Arial" w:hAnsi="Arial" w:cs="Arial"/>
          <w:sz w:val="24"/>
          <w:szCs w:val="24"/>
        </w:rPr>
        <w:t>The fact that the text of the Qur’an has always maintained a dialectical relationship with the Arab social environment at the time of its revelation clearly demonstrates that, on the one hand, the text of the Qur’an was indirectly shaped by the realities of Arab civilization, and, on the other hand, the text of the Qur’an also played a role in transforming that civilization through the messages and concepts it conveyed. This implies that Arab cultural reality already existed before the Qur’anic text was revealed. Furthermore, the process of the Qur’an’s revelation from beginning to end cannot be separated from the surrounding reality and culture. Therefore, Nasr Hamid argues that the Qur’an is a cultural product resulting from this process.</w:t>
      </w:r>
    </w:p>
    <w:p w14:paraId="1F7776A4" w14:textId="152BBC5B" w:rsidR="004C4786" w:rsidRDefault="0068410C" w:rsidP="00960A2E">
      <w:pPr>
        <w:tabs>
          <w:tab w:val="left" w:pos="7655"/>
        </w:tabs>
        <w:spacing w:before="160" w:after="0" w:line="360" w:lineRule="auto"/>
        <w:ind w:right="49" w:firstLine="567"/>
        <w:jc w:val="both"/>
        <w:rPr>
          <w:rFonts w:ascii="Arial" w:eastAsia="Arial" w:hAnsi="Arial" w:cs="Arial"/>
          <w:sz w:val="24"/>
          <w:szCs w:val="24"/>
        </w:rPr>
      </w:pPr>
      <w:r w:rsidRPr="0068410C">
        <w:rPr>
          <w:rFonts w:ascii="Arial" w:eastAsia="Arial" w:hAnsi="Arial" w:cs="Arial"/>
          <w:sz w:val="24"/>
          <w:szCs w:val="24"/>
        </w:rPr>
        <w:t xml:space="preserve">Meanwhile, the concept of ma’na </w:t>
      </w:r>
      <w:r w:rsidR="00C06B78">
        <w:rPr>
          <w:rFonts w:ascii="Arial" w:eastAsia="Arial" w:hAnsi="Arial" w:cs="Arial"/>
          <w:sz w:val="24"/>
          <w:szCs w:val="24"/>
        </w:rPr>
        <w:t>and</w:t>
      </w:r>
      <w:r w:rsidRPr="0068410C">
        <w:rPr>
          <w:rFonts w:ascii="Arial" w:eastAsia="Arial" w:hAnsi="Arial" w:cs="Arial"/>
          <w:sz w:val="24"/>
          <w:szCs w:val="24"/>
        </w:rPr>
        <w:t xml:space="preserve"> maghza that he offers as an approach to understanding the Qur’anic text represents a breakthrough within contemporary exegesis, since an exegesis can be considered contemporary if it contributes to the modern realities unfolding today, and an interpretation using the ma’na </w:t>
      </w:r>
      <w:r w:rsidR="00C06B78">
        <w:rPr>
          <w:rFonts w:ascii="Arial" w:eastAsia="Arial" w:hAnsi="Arial" w:cs="Arial"/>
          <w:sz w:val="24"/>
          <w:szCs w:val="24"/>
        </w:rPr>
        <w:t>and</w:t>
      </w:r>
      <w:r w:rsidRPr="0068410C">
        <w:rPr>
          <w:rFonts w:ascii="Arial" w:eastAsia="Arial" w:hAnsi="Arial" w:cs="Arial"/>
          <w:sz w:val="24"/>
          <w:szCs w:val="24"/>
        </w:rPr>
        <w:t xml:space="preserve"> maghza approach is quite helpful in contextualizing the text with current events. Furthermore, this theory can be seen as a complement to earlier ideas put forward by other Muslim scholars, such as Fazlur Rahman with his dual movement and Abdullah Saeed with his contextual exegesis.</w:t>
      </w:r>
    </w:p>
    <w:p w14:paraId="0A43D5F0" w14:textId="5E3E5565" w:rsidR="004C4786" w:rsidRDefault="004C4786">
      <w:pPr>
        <w:spacing w:after="120" w:line="360" w:lineRule="auto"/>
        <w:ind w:left="360" w:firstLine="720"/>
        <w:jc w:val="both"/>
        <w:rPr>
          <w:rFonts w:ascii="Arial" w:eastAsia="Arial" w:hAnsi="Arial" w:cs="Arial"/>
          <w:sz w:val="24"/>
          <w:szCs w:val="24"/>
        </w:rPr>
      </w:pPr>
    </w:p>
    <w:p w14:paraId="3EBE33F8" w14:textId="77777777" w:rsidR="0068410C" w:rsidRDefault="0068410C">
      <w:pPr>
        <w:spacing w:after="120" w:line="360" w:lineRule="auto"/>
        <w:ind w:left="360" w:firstLine="720"/>
        <w:jc w:val="both"/>
        <w:rPr>
          <w:rFonts w:ascii="Arial" w:eastAsia="Arial" w:hAnsi="Arial" w:cs="Arial"/>
          <w:sz w:val="24"/>
          <w:szCs w:val="24"/>
        </w:rPr>
      </w:pPr>
    </w:p>
    <w:p w14:paraId="22A2DD54" w14:textId="77777777" w:rsidR="0068410C" w:rsidRDefault="0068410C">
      <w:pPr>
        <w:spacing w:after="120" w:line="360" w:lineRule="auto"/>
        <w:ind w:left="360" w:firstLine="720"/>
        <w:jc w:val="both"/>
        <w:rPr>
          <w:rFonts w:ascii="Arial" w:eastAsia="Arial" w:hAnsi="Arial" w:cs="Arial"/>
          <w:sz w:val="24"/>
          <w:szCs w:val="24"/>
        </w:rPr>
      </w:pPr>
    </w:p>
    <w:p w14:paraId="09C78357" w14:textId="77777777" w:rsidR="0068410C" w:rsidRDefault="0068410C">
      <w:pPr>
        <w:spacing w:after="120" w:line="360" w:lineRule="auto"/>
        <w:ind w:left="360" w:firstLine="720"/>
        <w:jc w:val="both"/>
        <w:rPr>
          <w:rFonts w:ascii="Arial" w:eastAsia="Arial" w:hAnsi="Arial" w:cs="Arial"/>
          <w:sz w:val="24"/>
          <w:szCs w:val="24"/>
        </w:rPr>
      </w:pPr>
    </w:p>
    <w:p w14:paraId="7D4FEA3A" w14:textId="77777777" w:rsidR="0068410C" w:rsidRDefault="0068410C">
      <w:pPr>
        <w:spacing w:after="120" w:line="360" w:lineRule="auto"/>
        <w:ind w:left="360" w:firstLine="720"/>
        <w:jc w:val="both"/>
        <w:rPr>
          <w:rFonts w:ascii="Arial" w:eastAsia="Arial" w:hAnsi="Arial" w:cs="Arial"/>
          <w:sz w:val="24"/>
          <w:szCs w:val="24"/>
        </w:rPr>
      </w:pPr>
    </w:p>
    <w:p w14:paraId="6773093A" w14:textId="12C037D1" w:rsidR="004C4786" w:rsidRDefault="0068410C">
      <w:pPr>
        <w:spacing w:line="240" w:lineRule="auto"/>
        <w:ind w:hanging="2"/>
        <w:jc w:val="center"/>
        <w:rPr>
          <w:rFonts w:ascii="Arial" w:eastAsia="Arial" w:hAnsi="Arial" w:cs="Arial"/>
          <w:sz w:val="24"/>
          <w:szCs w:val="24"/>
        </w:rPr>
      </w:pPr>
      <w:r>
        <w:rPr>
          <w:rFonts w:ascii="Arial" w:eastAsia="Arial" w:hAnsi="Arial" w:cs="Arial"/>
          <w:b/>
          <w:bCs/>
          <w:color w:val="000000"/>
          <w:sz w:val="24"/>
          <w:szCs w:val="24"/>
        </w:rPr>
        <w:lastRenderedPageBreak/>
        <w:t>Bibliography</w:t>
      </w:r>
    </w:p>
    <w:p w14:paraId="4335DEA2" w14:textId="77777777" w:rsidR="004C4786" w:rsidRDefault="00FE366C">
      <w:pPr>
        <w:ind w:left="360" w:firstLine="0"/>
        <w:jc w:val="both"/>
        <w:rPr>
          <w:rFonts w:ascii="Arial" w:eastAsia="Arial" w:hAnsi="Arial" w:cs="Arial"/>
          <w:b/>
          <w:bCs/>
          <w:sz w:val="24"/>
          <w:szCs w:val="24"/>
        </w:rPr>
      </w:pPr>
      <w:r>
        <w:rPr>
          <w:rFonts w:ascii="Arial" w:eastAsia="Arial" w:hAnsi="Arial" w:cs="Arial"/>
          <w:sz w:val="24"/>
          <w:szCs w:val="24"/>
        </w:rPr>
        <w:t xml:space="preserve">Abu Zayd, Nasr Hamid. 2004. </w:t>
      </w:r>
      <w:r>
        <w:rPr>
          <w:rFonts w:ascii="Arial" w:eastAsia="Arial" w:hAnsi="Arial" w:cs="Arial"/>
          <w:i/>
          <w:iCs/>
          <w:sz w:val="24"/>
          <w:szCs w:val="24"/>
        </w:rPr>
        <w:t>Rethinking the Qur'an: Toward a Humanistics.</w:t>
      </w:r>
      <w:r>
        <w:rPr>
          <w:rFonts w:ascii="Arial" w:eastAsia="Arial" w:hAnsi="Arial" w:cs="Arial"/>
          <w:sz w:val="24"/>
          <w:szCs w:val="24"/>
        </w:rPr>
        <w:t xml:space="preserve"> Amsterdam: Humanitics University Press.</w:t>
      </w:r>
    </w:p>
    <w:p w14:paraId="04AAC5DF" w14:textId="77777777" w:rsidR="004C4786" w:rsidRDefault="00FE366C">
      <w:pPr>
        <w:ind w:left="360" w:firstLine="0"/>
        <w:jc w:val="both"/>
        <w:rPr>
          <w:rFonts w:ascii="Arial" w:eastAsia="Arial" w:hAnsi="Arial" w:cs="Arial"/>
          <w:sz w:val="24"/>
          <w:szCs w:val="24"/>
        </w:rPr>
      </w:pPr>
      <w:r>
        <w:rPr>
          <w:rFonts w:ascii="Arial" w:eastAsia="Arial" w:hAnsi="Arial" w:cs="Arial"/>
          <w:sz w:val="24"/>
          <w:szCs w:val="24"/>
        </w:rPr>
        <w:t xml:space="preserve">Abu Zaid, N. H. (2001). </w:t>
      </w:r>
      <w:r>
        <w:rPr>
          <w:rFonts w:ascii="Arial" w:eastAsia="Arial" w:hAnsi="Arial" w:cs="Arial"/>
          <w:i/>
          <w:iCs/>
          <w:sz w:val="24"/>
          <w:szCs w:val="24"/>
        </w:rPr>
        <w:t xml:space="preserve">Tekstualitas Al-Qur’an: Kritik terhadap Ulumul Qur’an, diterj. dari Mafhum al-Nash Dirasah fi Ulum al-Qur’an, oleh Khoirul Nahdliyyin. </w:t>
      </w:r>
      <w:r>
        <w:rPr>
          <w:rFonts w:ascii="Arial" w:eastAsia="Arial" w:hAnsi="Arial" w:cs="Arial"/>
          <w:sz w:val="24"/>
          <w:szCs w:val="24"/>
        </w:rPr>
        <w:t>Yogyakarta: LKiS.</w:t>
      </w:r>
    </w:p>
    <w:p w14:paraId="2675A766" w14:textId="77777777" w:rsidR="004C4786" w:rsidRDefault="00FE366C">
      <w:pPr>
        <w:ind w:left="360" w:firstLine="0"/>
        <w:jc w:val="both"/>
        <w:rPr>
          <w:rFonts w:ascii="Arial" w:eastAsia="Arial" w:hAnsi="Arial" w:cs="Arial"/>
          <w:sz w:val="24"/>
          <w:szCs w:val="24"/>
        </w:rPr>
      </w:pPr>
      <w:r>
        <w:rPr>
          <w:rFonts w:ascii="Arial" w:eastAsia="Arial" w:hAnsi="Arial" w:cs="Arial"/>
          <w:sz w:val="24"/>
          <w:szCs w:val="24"/>
        </w:rPr>
        <w:t xml:space="preserve">Abu Zayd, Nasr Hamid. 1992. </w:t>
      </w:r>
      <w:r>
        <w:rPr>
          <w:rFonts w:ascii="Arial" w:eastAsia="Arial" w:hAnsi="Arial" w:cs="Arial"/>
          <w:i/>
          <w:iCs/>
          <w:sz w:val="24"/>
          <w:szCs w:val="24"/>
        </w:rPr>
        <w:t>al-Imam al-Syafi'i wa Ta'sis al-Idiulujiyya al-Wasatiyya.</w:t>
      </w:r>
      <w:r>
        <w:rPr>
          <w:rFonts w:ascii="Arial" w:eastAsia="Arial" w:hAnsi="Arial" w:cs="Arial"/>
          <w:sz w:val="24"/>
          <w:szCs w:val="24"/>
        </w:rPr>
        <w:t xml:space="preserve"> Kairo: Maktabah Madlubi.</w:t>
      </w:r>
    </w:p>
    <w:p w14:paraId="0AA3AE0E" w14:textId="77777777" w:rsidR="004C4786" w:rsidRDefault="00FE366C">
      <w:pPr>
        <w:ind w:left="360" w:firstLine="0"/>
        <w:jc w:val="both"/>
        <w:rPr>
          <w:rFonts w:ascii="Arial" w:eastAsia="Arial" w:hAnsi="Arial" w:cs="Arial"/>
          <w:sz w:val="24"/>
          <w:szCs w:val="24"/>
        </w:rPr>
      </w:pPr>
      <w:r>
        <w:rPr>
          <w:rFonts w:ascii="Arial" w:eastAsia="Arial" w:hAnsi="Arial" w:cs="Arial"/>
          <w:sz w:val="24"/>
          <w:szCs w:val="24"/>
        </w:rPr>
        <w:t xml:space="preserve">Ali Imron dkk. (2010). </w:t>
      </w:r>
      <w:r>
        <w:rPr>
          <w:rFonts w:ascii="Arial" w:eastAsia="Arial" w:hAnsi="Arial" w:cs="Arial"/>
          <w:i/>
          <w:iCs/>
          <w:sz w:val="24"/>
          <w:szCs w:val="24"/>
        </w:rPr>
        <w:t xml:space="preserve">Hermeneutika al-Qur’an dan Hadis. </w:t>
      </w:r>
      <w:r>
        <w:rPr>
          <w:rFonts w:ascii="Arial" w:eastAsia="Arial" w:hAnsi="Arial" w:cs="Arial"/>
          <w:sz w:val="24"/>
          <w:szCs w:val="24"/>
        </w:rPr>
        <w:t>Yogyakarta: Elsaq Press.</w:t>
      </w:r>
    </w:p>
    <w:p w14:paraId="4458F2D4" w14:textId="77777777" w:rsidR="004C4786" w:rsidRDefault="00FE366C">
      <w:pPr>
        <w:ind w:left="360" w:firstLine="0"/>
        <w:jc w:val="both"/>
        <w:rPr>
          <w:rFonts w:ascii="Arial" w:eastAsia="Arial" w:hAnsi="Arial" w:cs="Arial"/>
          <w:sz w:val="24"/>
          <w:szCs w:val="24"/>
        </w:rPr>
      </w:pPr>
      <w:r>
        <w:rPr>
          <w:rFonts w:ascii="Arial" w:eastAsia="Arial" w:hAnsi="Arial" w:cs="Arial"/>
          <w:sz w:val="24"/>
          <w:szCs w:val="24"/>
        </w:rPr>
        <w:t xml:space="preserve">Fadilah, A. (2019). Ma’na-Cum-Maghza Sebagai Pendekatan Kontekstual dalam Perkembangan Wacana Hermeneutika Alquran di Indonesia. </w:t>
      </w:r>
      <w:r>
        <w:rPr>
          <w:rFonts w:ascii="Arial" w:eastAsia="Arial" w:hAnsi="Arial" w:cs="Arial"/>
          <w:i/>
          <w:iCs/>
          <w:sz w:val="24"/>
          <w:szCs w:val="24"/>
        </w:rPr>
        <w:t>JOURNAL OF QUR’ᾹN AND HADῙTH STUDIES 8 (1)</w:t>
      </w:r>
      <w:r>
        <w:rPr>
          <w:rFonts w:ascii="Arial" w:eastAsia="Arial" w:hAnsi="Arial" w:cs="Arial"/>
          <w:sz w:val="24"/>
          <w:szCs w:val="24"/>
        </w:rPr>
        <w:t>, 1-17.</w:t>
      </w:r>
    </w:p>
    <w:p w14:paraId="23687B25" w14:textId="77777777" w:rsidR="004C4786" w:rsidRDefault="00FE366C">
      <w:pPr>
        <w:ind w:left="360" w:firstLine="0"/>
        <w:jc w:val="both"/>
        <w:rPr>
          <w:rFonts w:ascii="Arial" w:eastAsia="Arial" w:hAnsi="Arial" w:cs="Arial"/>
          <w:i/>
          <w:iCs/>
          <w:sz w:val="24"/>
          <w:szCs w:val="24"/>
        </w:rPr>
      </w:pPr>
      <w:r>
        <w:rPr>
          <w:rFonts w:ascii="Arial" w:eastAsia="Arial" w:hAnsi="Arial" w:cs="Arial"/>
          <w:sz w:val="24"/>
          <w:szCs w:val="24"/>
        </w:rPr>
        <w:t xml:space="preserve">Hamdani, Fikri. 2016. "Teori Interpretasi Nasr Hamid Abu Zayd." </w:t>
      </w:r>
      <w:r>
        <w:rPr>
          <w:rFonts w:ascii="Arial" w:eastAsia="Arial" w:hAnsi="Arial" w:cs="Arial"/>
          <w:i/>
          <w:iCs/>
          <w:sz w:val="24"/>
          <w:szCs w:val="24"/>
        </w:rPr>
        <w:t>Jurnal farabi Vol.3 No.1.</w:t>
      </w:r>
    </w:p>
    <w:p w14:paraId="7A4902E5" w14:textId="77777777" w:rsidR="004C4786" w:rsidRDefault="00FE366C">
      <w:pPr>
        <w:ind w:left="360" w:firstLine="0"/>
        <w:jc w:val="both"/>
        <w:rPr>
          <w:rFonts w:ascii="Arial" w:eastAsia="Arial" w:hAnsi="Arial" w:cs="Arial"/>
          <w:sz w:val="24"/>
          <w:szCs w:val="24"/>
        </w:rPr>
      </w:pPr>
      <w:r>
        <w:rPr>
          <w:rFonts w:ascii="Arial" w:eastAsia="Arial" w:hAnsi="Arial" w:cs="Arial"/>
          <w:sz w:val="24"/>
          <w:szCs w:val="24"/>
        </w:rPr>
        <w:t xml:space="preserve">Lutfi, M. (2018). </w:t>
      </w:r>
      <w:r w:rsidRPr="00DE307A">
        <w:rPr>
          <w:rFonts w:ascii="Arial" w:eastAsia="Arial" w:hAnsi="Arial" w:cs="Arial"/>
          <w:sz w:val="24"/>
          <w:szCs w:val="24"/>
          <w:lang w:val="de-DE"/>
        </w:rPr>
        <w:t xml:space="preserve">Hermeneutika Al-Qur'an: Model Interpretasi Nasr Hamid Abu Zayd. </w:t>
      </w:r>
      <w:r>
        <w:rPr>
          <w:rFonts w:ascii="Arial" w:eastAsia="Arial" w:hAnsi="Arial" w:cs="Arial"/>
          <w:i/>
          <w:iCs/>
          <w:sz w:val="24"/>
          <w:szCs w:val="24"/>
        </w:rPr>
        <w:t>Mutawatir: Jurnal Keilmuan Tafsir Hadits</w:t>
      </w:r>
      <w:r>
        <w:rPr>
          <w:rFonts w:ascii="Arial" w:eastAsia="Arial" w:hAnsi="Arial" w:cs="Arial"/>
          <w:sz w:val="24"/>
          <w:szCs w:val="24"/>
        </w:rPr>
        <w:t>.</w:t>
      </w:r>
    </w:p>
    <w:p w14:paraId="5E00FDD5" w14:textId="77777777" w:rsidR="004C4786" w:rsidRDefault="00FE366C">
      <w:pPr>
        <w:ind w:left="360" w:firstLine="0"/>
        <w:jc w:val="both"/>
        <w:rPr>
          <w:rFonts w:ascii="Arial" w:eastAsia="Arial" w:hAnsi="Arial" w:cs="Arial"/>
          <w:sz w:val="24"/>
          <w:szCs w:val="24"/>
        </w:rPr>
      </w:pPr>
      <w:r>
        <w:rPr>
          <w:rFonts w:ascii="Arial" w:eastAsia="Arial" w:hAnsi="Arial" w:cs="Arial"/>
          <w:sz w:val="24"/>
          <w:szCs w:val="24"/>
        </w:rPr>
        <w:t xml:space="preserve">Saussure, Ferdinand de. 1959. </w:t>
      </w:r>
      <w:r>
        <w:rPr>
          <w:rFonts w:ascii="Arial" w:eastAsia="Arial" w:hAnsi="Arial" w:cs="Arial"/>
          <w:i/>
          <w:iCs/>
          <w:sz w:val="24"/>
          <w:szCs w:val="24"/>
        </w:rPr>
        <w:t>Course in General Linguistics, terj Wade Baskin.</w:t>
      </w:r>
      <w:r>
        <w:rPr>
          <w:rFonts w:ascii="Arial" w:eastAsia="Arial" w:hAnsi="Arial" w:cs="Arial"/>
          <w:sz w:val="24"/>
          <w:szCs w:val="24"/>
        </w:rPr>
        <w:t xml:space="preserve"> New York: Philosohical Library.</w:t>
      </w:r>
    </w:p>
    <w:p w14:paraId="6716AAEB" w14:textId="77777777" w:rsidR="004C4786" w:rsidRDefault="00FE366C">
      <w:pPr>
        <w:ind w:left="360" w:firstLine="0"/>
        <w:jc w:val="both"/>
        <w:rPr>
          <w:rFonts w:ascii="Arial" w:eastAsia="Arial" w:hAnsi="Arial" w:cs="Arial"/>
          <w:sz w:val="24"/>
          <w:szCs w:val="24"/>
        </w:rPr>
      </w:pPr>
      <w:r>
        <w:rPr>
          <w:rFonts w:ascii="Arial" w:eastAsia="Arial" w:hAnsi="Arial" w:cs="Arial"/>
          <w:sz w:val="24"/>
          <w:szCs w:val="24"/>
        </w:rPr>
        <w:t xml:space="preserve">Syamsuddin, Sahiron. 2010. "Pendekatan Ma'an cum maghza atas al-Qur'an dan Hadits: menjawab Problematika Sosial Kontemporer." </w:t>
      </w:r>
      <w:r>
        <w:rPr>
          <w:rFonts w:ascii="Arial" w:eastAsia="Arial" w:hAnsi="Arial" w:cs="Arial"/>
          <w:i/>
          <w:iCs/>
          <w:sz w:val="24"/>
          <w:szCs w:val="24"/>
        </w:rPr>
        <w:t>Proceedings of Annual Conference on Studies .</w:t>
      </w:r>
      <w:r>
        <w:rPr>
          <w:rFonts w:ascii="Arial" w:eastAsia="Arial" w:hAnsi="Arial" w:cs="Arial"/>
          <w:sz w:val="24"/>
          <w:szCs w:val="24"/>
        </w:rPr>
        <w:t xml:space="preserve"> Banjarmasin: Kemenag RI. 4-7.</w:t>
      </w:r>
    </w:p>
    <w:p w14:paraId="6BA7F1B4" w14:textId="77777777" w:rsidR="004C4786" w:rsidRDefault="00FE366C">
      <w:pPr>
        <w:ind w:left="360" w:firstLine="0"/>
        <w:jc w:val="both"/>
        <w:rPr>
          <w:rFonts w:ascii="Arial" w:eastAsia="Arial" w:hAnsi="Arial" w:cs="Arial"/>
          <w:sz w:val="24"/>
          <w:szCs w:val="24"/>
        </w:rPr>
      </w:pPr>
      <w:r>
        <w:rPr>
          <w:rFonts w:ascii="Arial" w:eastAsia="Arial" w:hAnsi="Arial" w:cs="Arial"/>
          <w:sz w:val="24"/>
          <w:szCs w:val="24"/>
        </w:rPr>
        <w:t xml:space="preserve">Zaid, Nasr Hamid Abu. 1992. </w:t>
      </w:r>
      <w:r>
        <w:rPr>
          <w:rFonts w:ascii="Arial" w:eastAsia="Arial" w:hAnsi="Arial" w:cs="Arial"/>
          <w:i/>
          <w:iCs/>
          <w:sz w:val="24"/>
          <w:szCs w:val="24"/>
        </w:rPr>
        <w:t>Isykaliyyat al-Qira'ah wa Aliyyat at-Ta'wil .</w:t>
      </w:r>
      <w:r>
        <w:rPr>
          <w:rFonts w:ascii="Arial" w:eastAsia="Arial" w:hAnsi="Arial" w:cs="Arial"/>
          <w:sz w:val="24"/>
          <w:szCs w:val="24"/>
        </w:rPr>
        <w:t xml:space="preserve"> Beirut: al-Markaz al-Tsaqafi al-'Arabi.</w:t>
      </w:r>
    </w:p>
    <w:p w14:paraId="694EEE0D" w14:textId="4871AD9B" w:rsidR="004C4786" w:rsidRDefault="00FE366C" w:rsidP="0068410C">
      <w:pPr>
        <w:ind w:left="360" w:firstLine="0"/>
        <w:jc w:val="both"/>
        <w:rPr>
          <w:rFonts w:ascii="Arial" w:eastAsia="Arial" w:hAnsi="Arial" w:cs="Arial"/>
          <w:sz w:val="24"/>
          <w:szCs w:val="24"/>
        </w:rPr>
      </w:pPr>
      <w:r>
        <w:rPr>
          <w:rFonts w:ascii="Arial" w:eastAsia="Arial" w:hAnsi="Arial" w:cs="Arial"/>
          <w:sz w:val="24"/>
          <w:szCs w:val="24"/>
        </w:rPr>
        <w:t xml:space="preserve">Zayd, Nasr Hamid Abu. 2005. </w:t>
      </w:r>
      <w:r>
        <w:rPr>
          <w:rFonts w:ascii="Arial" w:eastAsia="Arial" w:hAnsi="Arial" w:cs="Arial"/>
          <w:i/>
          <w:iCs/>
          <w:sz w:val="24"/>
          <w:szCs w:val="24"/>
        </w:rPr>
        <w:t>Mafhum al-nas: dirasa fi 'ulum al-Qur'an.</w:t>
      </w:r>
      <w:r>
        <w:rPr>
          <w:rFonts w:ascii="Arial" w:eastAsia="Arial" w:hAnsi="Arial" w:cs="Arial"/>
          <w:sz w:val="24"/>
          <w:szCs w:val="24"/>
        </w:rPr>
        <w:t xml:space="preserve"> Beirut: Al-markaz Al-Thaqafi Al-'Arabi. </w:t>
      </w:r>
    </w:p>
    <w:p w14:paraId="140F48DC" w14:textId="77777777" w:rsidR="004C4786" w:rsidRDefault="004C4786">
      <w:pPr>
        <w:spacing w:after="0" w:line="240" w:lineRule="auto"/>
        <w:ind w:hanging="2"/>
        <w:jc w:val="both"/>
        <w:rPr>
          <w:rFonts w:ascii="Arial" w:eastAsia="Arial" w:hAnsi="Arial" w:cs="Arial"/>
        </w:rPr>
      </w:pPr>
    </w:p>
    <w:sectPr w:rsidR="004C4786" w:rsidSect="0068410C">
      <w:headerReference w:type="even" r:id="rId9"/>
      <w:headerReference w:type="default" r:id="rId10"/>
      <w:footerReference w:type="even" r:id="rId11"/>
      <w:footerReference w:type="default" r:id="rId12"/>
      <w:headerReference w:type="first" r:id="rId13"/>
      <w:footerReference w:type="first" r:id="rId14"/>
      <w:pgSz w:w="12240" w:h="15840"/>
      <w:pgMar w:top="2268" w:right="1701" w:bottom="1701" w:left="2268" w:header="720" w:footer="720" w:gutter="0"/>
      <w:pgNumType w:start="10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BF710" w14:textId="77777777" w:rsidR="001166ED" w:rsidRDefault="001166ED">
      <w:pPr>
        <w:spacing w:after="0" w:line="240" w:lineRule="auto"/>
      </w:pPr>
      <w:r>
        <w:separator/>
      </w:r>
    </w:p>
  </w:endnote>
  <w:endnote w:type="continuationSeparator" w:id="0">
    <w:p w14:paraId="2A4A8825" w14:textId="77777777" w:rsidR="001166ED" w:rsidRDefault="00116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5FD1AE2-1456-4E39-996B-8A052481EE2F}"/>
    <w:embedBold r:id="rId2" w:fontKey="{158B32DE-9AC3-458A-A9B9-82F0ADFE82A4}"/>
  </w:font>
  <w:font w:name="Georgia">
    <w:panose1 w:val="02040502050405020303"/>
    <w:charset w:val="00"/>
    <w:family w:val="roman"/>
    <w:pitch w:val="variable"/>
    <w:sig w:usb0="00000287" w:usb1="00000000" w:usb2="00000000" w:usb3="00000000" w:csb0="0000009F" w:csb1="00000000"/>
    <w:embedItalic r:id="rId3" w:fontKey="{339B0845-5E5E-4414-ADF5-D05E999A118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D0844006-241E-43F7-9D82-5B4CE2BD7E80}"/>
    <w:embedBold r:id="rId5" w:fontKey="{B4A0F855-A34C-40EF-A63C-CC14EA7529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986D9" w14:textId="77777777" w:rsidR="004C4786" w:rsidRDefault="004C4786">
    <w:pPr>
      <w:pBdr>
        <w:top w:val="nil"/>
        <w:left w:val="nil"/>
        <w:bottom w:val="nil"/>
        <w:right w:val="nil"/>
        <w:between w:val="nil"/>
      </w:pBdr>
      <w:tabs>
        <w:tab w:val="center" w:pos="4680"/>
        <w:tab w:val="right" w:pos="9360"/>
      </w:tabs>
      <w:spacing w:after="0" w:line="240" w:lineRule="auto"/>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B80A" w14:textId="14813BE3" w:rsidR="004C4786" w:rsidRDefault="00FE366C">
    <w:pPr>
      <w:pBdr>
        <w:top w:val="single" w:sz="24" w:space="1" w:color="622423"/>
        <w:left w:val="nil"/>
        <w:bottom w:val="nil"/>
        <w:right w:val="nil"/>
        <w:between w:val="nil"/>
      </w:pBdr>
      <w:tabs>
        <w:tab w:val="center" w:pos="4680"/>
        <w:tab w:val="right" w:pos="9360"/>
        <w:tab w:val="right" w:pos="9972"/>
      </w:tabs>
      <w:spacing w:after="0" w:line="240" w:lineRule="auto"/>
      <w:ind w:hanging="2"/>
      <w:rPr>
        <w:rFonts w:ascii="Cambria" w:eastAsia="Cambria" w:hAnsi="Cambria" w:cs="Cambria"/>
        <w:color w:val="000000"/>
      </w:rPr>
    </w:pPr>
    <w:r w:rsidRPr="00AC0B09">
      <w:rPr>
        <w:rFonts w:ascii="Cambria" w:eastAsia="Cambria" w:hAnsi="Cambria" w:cs="Cambria"/>
        <w:b/>
        <w:bCs/>
      </w:rPr>
      <w:t>Umi Nurul Khanifa</w:t>
    </w:r>
    <w:r>
      <w:rPr>
        <w:rFonts w:ascii="Cambria" w:eastAsia="Cambria" w:hAnsi="Cambria" w:cs="Cambria"/>
        <w:color w:val="000000"/>
      </w:rPr>
      <w:t xml:space="preserve"> (1</w:t>
    </w:r>
    <w:r w:rsidR="0068410C">
      <w:rPr>
        <w:rFonts w:ascii="Cambria" w:eastAsia="Cambria" w:hAnsi="Cambria" w:cs="Cambria"/>
        <w:color w:val="000000"/>
      </w:rPr>
      <w:t>03</w:t>
    </w:r>
    <w:r>
      <w:rPr>
        <w:rFonts w:ascii="Cambria" w:eastAsia="Cambria" w:hAnsi="Cambria" w:cs="Cambria"/>
        <w:color w:val="000000"/>
      </w:rPr>
      <w:t xml:space="preserve"> –</w:t>
    </w:r>
    <w:r w:rsidR="0068410C">
      <w:rPr>
        <w:rFonts w:ascii="Cambria" w:eastAsia="Cambria" w:hAnsi="Cambria" w:cs="Cambria"/>
        <w:color w:val="000000"/>
      </w:rPr>
      <w:t xml:space="preserve"> 117</w:t>
    </w:r>
    <w:r>
      <w:rPr>
        <w:rFonts w:ascii="Cambria" w:eastAsia="Cambria" w:hAnsi="Cambria" w:cs="Cambria"/>
        <w:color w:val="000000"/>
      </w:rPr>
      <w:t xml:space="preserve">)Hlm                                                                                  Page </w:t>
    </w:r>
    <w:r>
      <w:rPr>
        <w:color w:val="000000"/>
      </w:rPr>
      <w:fldChar w:fldCharType="begin"/>
    </w:r>
    <w:r>
      <w:rPr>
        <w:color w:val="000000"/>
      </w:rPr>
      <w:instrText>PAGE</w:instrText>
    </w:r>
    <w:r>
      <w:rPr>
        <w:color w:val="000000"/>
      </w:rPr>
      <w:fldChar w:fldCharType="separate"/>
    </w:r>
    <w:r w:rsidR="00DE307A">
      <w:rPr>
        <w:noProof/>
        <w:color w:val="000000"/>
      </w:rPr>
      <w:t>1</w:t>
    </w:r>
    <w:r>
      <w:rPr>
        <w:color w:val="000000"/>
      </w:rPr>
      <w:fldChar w:fldCharType="end"/>
    </w:r>
  </w:p>
  <w:p w14:paraId="1D6C1334" w14:textId="77777777" w:rsidR="004C4786" w:rsidRDefault="004C4786">
    <w:pPr>
      <w:pBdr>
        <w:top w:val="nil"/>
        <w:left w:val="nil"/>
        <w:bottom w:val="nil"/>
        <w:right w:val="nil"/>
        <w:between w:val="nil"/>
      </w:pBdr>
      <w:tabs>
        <w:tab w:val="center" w:pos="4680"/>
        <w:tab w:val="right" w:pos="9360"/>
      </w:tabs>
      <w:spacing w:after="0" w:line="240" w:lineRule="auto"/>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8068" w14:textId="77777777" w:rsidR="004C4786" w:rsidRDefault="004C4786">
    <w:pPr>
      <w:pBdr>
        <w:top w:val="nil"/>
        <w:left w:val="nil"/>
        <w:bottom w:val="nil"/>
        <w:right w:val="nil"/>
        <w:between w:val="nil"/>
      </w:pBdr>
      <w:tabs>
        <w:tab w:val="center" w:pos="4680"/>
        <w:tab w:val="right" w:pos="9360"/>
      </w:tabs>
      <w:spacing w:after="0" w:line="240" w:lineRule="auto"/>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9F5D5" w14:textId="77777777" w:rsidR="001166ED" w:rsidRDefault="001166ED">
      <w:pPr>
        <w:spacing w:after="0" w:line="240" w:lineRule="auto"/>
      </w:pPr>
      <w:r>
        <w:separator/>
      </w:r>
    </w:p>
  </w:footnote>
  <w:footnote w:type="continuationSeparator" w:id="0">
    <w:p w14:paraId="04287C21" w14:textId="77777777" w:rsidR="001166ED" w:rsidRDefault="001166ED">
      <w:pPr>
        <w:spacing w:after="0" w:line="240" w:lineRule="auto"/>
      </w:pPr>
      <w:r>
        <w:continuationSeparator/>
      </w:r>
    </w:p>
  </w:footnote>
  <w:footnote w:id="1">
    <w:p w14:paraId="64FF4518" w14:textId="77777777" w:rsidR="004C4786" w:rsidRPr="00090ECA" w:rsidRDefault="00FE366C" w:rsidP="00090ECA">
      <w:pPr>
        <w:spacing w:after="0" w:line="240" w:lineRule="auto"/>
        <w:ind w:hanging="2"/>
        <w:jc w:val="both"/>
        <w:rPr>
          <w:rFonts w:ascii="Arial" w:hAnsi="Arial" w:cs="Arial"/>
          <w:sz w:val="20"/>
          <w:szCs w:val="20"/>
        </w:rPr>
      </w:pPr>
      <w:r w:rsidRPr="00090ECA">
        <w:rPr>
          <w:rFonts w:ascii="Arial" w:hAnsi="Arial" w:cs="Arial"/>
          <w:sz w:val="20"/>
          <w:szCs w:val="20"/>
          <w:vertAlign w:val="superscript"/>
        </w:rPr>
        <w:footnoteRef/>
      </w:r>
      <w:r w:rsidRPr="00090ECA">
        <w:rPr>
          <w:rFonts w:ascii="Arial" w:hAnsi="Arial" w:cs="Arial"/>
          <w:sz w:val="20"/>
          <w:szCs w:val="20"/>
        </w:rPr>
        <w:t xml:space="preserve">. UIN Prof. Saifuddin Zuhri Purwokerto </w:t>
      </w:r>
      <w:r w:rsidRPr="00090ECA">
        <w:rPr>
          <w:rFonts w:ascii="Arial" w:eastAsia="Arial" w:hAnsi="Arial" w:cs="Arial"/>
          <w:sz w:val="20"/>
          <w:szCs w:val="20"/>
        </w:rPr>
        <w:t xml:space="preserve">   Email: </w:t>
      </w:r>
      <w:hyperlink r:id="rId1">
        <w:r w:rsidRPr="00090ECA">
          <w:rPr>
            <w:rFonts w:ascii="Arial" w:eastAsia="Arial" w:hAnsi="Arial" w:cs="Arial"/>
            <w:color w:val="1155CC"/>
            <w:sz w:val="20"/>
            <w:szCs w:val="20"/>
            <w:u w:val="single"/>
          </w:rPr>
          <w:t>uminurulkhanif912@gmail.com</w:t>
        </w:r>
      </w:hyperlink>
      <w:r w:rsidRPr="00090ECA">
        <w:rPr>
          <w:rFonts w:ascii="Arial" w:eastAsia="Arial" w:hAnsi="Arial" w:cs="Aria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6FEF" w14:textId="77777777" w:rsidR="004C4786" w:rsidRDefault="004C4786">
    <w:pPr>
      <w:pBdr>
        <w:top w:val="nil"/>
        <w:left w:val="nil"/>
        <w:bottom w:val="nil"/>
        <w:right w:val="nil"/>
        <w:between w:val="nil"/>
      </w:pBdr>
      <w:tabs>
        <w:tab w:val="center" w:pos="4680"/>
        <w:tab w:val="right" w:pos="9360"/>
      </w:tabs>
      <w:spacing w:after="0" w:line="240" w:lineRule="auto"/>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1124" w14:textId="77777777" w:rsidR="004C4786" w:rsidRDefault="004C4786">
    <w:pPr>
      <w:widowControl w:val="0"/>
      <w:pBdr>
        <w:top w:val="nil"/>
        <w:left w:val="nil"/>
        <w:bottom w:val="nil"/>
        <w:right w:val="nil"/>
        <w:between w:val="nil"/>
      </w:pBdr>
      <w:spacing w:after="0"/>
      <w:ind w:hanging="2"/>
      <w:rPr>
        <w:color w:val="000000"/>
        <w:sz w:val="20"/>
        <w:szCs w:val="20"/>
      </w:rPr>
    </w:pPr>
  </w:p>
  <w:tbl>
    <w:tblPr>
      <w:tblStyle w:val="a"/>
      <w:tblW w:w="8501" w:type="dxa"/>
      <w:tblInd w:w="-115" w:type="dxa"/>
      <w:tblBorders>
        <w:top w:val="nil"/>
        <w:left w:val="nil"/>
        <w:bottom w:val="single" w:sz="18" w:space="0" w:color="808080"/>
        <w:right w:val="nil"/>
        <w:insideH w:val="nil"/>
        <w:insideV w:val="single" w:sz="18" w:space="0" w:color="808080"/>
      </w:tblBorders>
      <w:tblLayout w:type="fixed"/>
      <w:tblLook w:val="0000" w:firstRow="0" w:lastRow="0" w:firstColumn="0" w:lastColumn="0" w:noHBand="0" w:noVBand="0"/>
    </w:tblPr>
    <w:tblGrid>
      <w:gridCol w:w="7424"/>
      <w:gridCol w:w="1077"/>
    </w:tblGrid>
    <w:tr w:rsidR="004C4786" w14:paraId="6AC7E750" w14:textId="77777777">
      <w:trPr>
        <w:trHeight w:val="1211"/>
      </w:trPr>
      <w:tc>
        <w:tcPr>
          <w:tcW w:w="7424" w:type="dxa"/>
        </w:tcPr>
        <w:p w14:paraId="080965A0" w14:textId="77777777" w:rsidR="004C4786" w:rsidRDefault="00FE366C">
          <w:pPr>
            <w:pBdr>
              <w:top w:val="nil"/>
              <w:left w:val="nil"/>
              <w:bottom w:val="nil"/>
              <w:right w:val="nil"/>
              <w:between w:val="nil"/>
            </w:pBdr>
            <w:tabs>
              <w:tab w:val="center" w:pos="4680"/>
              <w:tab w:val="right" w:pos="9360"/>
            </w:tabs>
            <w:spacing w:after="0" w:line="240" w:lineRule="auto"/>
            <w:ind w:hanging="2"/>
            <w:jc w:val="right"/>
            <w:rPr>
              <w:rFonts w:ascii="Cambria" w:eastAsia="Cambria" w:hAnsi="Cambria" w:cs="Cambria"/>
              <w:color w:val="000000"/>
              <w:sz w:val="26"/>
              <w:szCs w:val="26"/>
            </w:rPr>
          </w:pPr>
          <w:r>
            <w:rPr>
              <w:rFonts w:ascii="Cambria" w:eastAsia="Cambria" w:hAnsi="Cambria" w:cs="Cambria"/>
              <w:color w:val="000000"/>
              <w:sz w:val="24"/>
              <w:szCs w:val="24"/>
            </w:rPr>
            <w:t xml:space="preserve">ISSN: 2502-549X E-ISSN: 5280-6294 </w:t>
          </w:r>
          <w:r>
            <w:rPr>
              <w:noProof/>
            </w:rPr>
            <w:drawing>
              <wp:anchor distT="0" distB="0" distL="114300" distR="114300" simplePos="0" relativeHeight="251658240" behindDoc="0" locked="0" layoutInCell="1" hidden="0" allowOverlap="1" wp14:anchorId="4FDD6E23" wp14:editId="7CD726FA">
                <wp:simplePos x="0" y="0"/>
                <wp:positionH relativeFrom="column">
                  <wp:posOffset>3091180</wp:posOffset>
                </wp:positionH>
                <wp:positionV relativeFrom="paragraph">
                  <wp:posOffset>213360</wp:posOffset>
                </wp:positionV>
                <wp:extent cx="2408555" cy="47942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3578" r="14634"/>
                        <a:stretch>
                          <a:fillRect/>
                        </a:stretch>
                      </pic:blipFill>
                      <pic:spPr>
                        <a:xfrm>
                          <a:off x="0" y="0"/>
                          <a:ext cx="2408555" cy="479425"/>
                        </a:xfrm>
                        <a:prstGeom prst="rect">
                          <a:avLst/>
                        </a:prstGeom>
                        <a:ln/>
                      </pic:spPr>
                    </pic:pic>
                  </a:graphicData>
                </a:graphic>
              </wp:anchor>
            </w:drawing>
          </w:r>
        </w:p>
        <w:p w14:paraId="6B8C72E7" w14:textId="77777777" w:rsidR="004C4786" w:rsidRDefault="004C4786">
          <w:pPr>
            <w:ind w:left="1" w:hanging="3"/>
            <w:jc w:val="center"/>
            <w:rPr>
              <w:sz w:val="26"/>
              <w:szCs w:val="26"/>
            </w:rPr>
          </w:pPr>
        </w:p>
      </w:tc>
      <w:tc>
        <w:tcPr>
          <w:tcW w:w="1077" w:type="dxa"/>
        </w:tcPr>
        <w:p w14:paraId="06210893" w14:textId="77777777" w:rsidR="004C4786" w:rsidRDefault="00FE366C">
          <w:pPr>
            <w:pBdr>
              <w:top w:val="nil"/>
              <w:left w:val="nil"/>
              <w:bottom w:val="nil"/>
              <w:right w:val="nil"/>
              <w:between w:val="nil"/>
            </w:pBdr>
            <w:tabs>
              <w:tab w:val="center" w:pos="4680"/>
              <w:tab w:val="right" w:pos="9360"/>
            </w:tabs>
            <w:spacing w:after="0" w:line="240" w:lineRule="auto"/>
            <w:ind w:hanging="2"/>
            <w:rPr>
              <w:rFonts w:ascii="Cambria" w:eastAsia="Cambria" w:hAnsi="Cambria" w:cs="Cambria"/>
              <w:color w:val="4F81BD"/>
              <w:sz w:val="24"/>
              <w:szCs w:val="24"/>
            </w:rPr>
          </w:pPr>
          <w:r>
            <w:rPr>
              <w:rFonts w:ascii="Cambria" w:eastAsia="Cambria" w:hAnsi="Cambria" w:cs="Cambria"/>
              <w:b/>
              <w:bCs/>
              <w:color w:val="4F81BD"/>
              <w:sz w:val="24"/>
              <w:szCs w:val="24"/>
            </w:rPr>
            <w:t>Vol.11</w:t>
          </w:r>
        </w:p>
        <w:p w14:paraId="3C529E3C" w14:textId="31BB2C84" w:rsidR="004C4786" w:rsidRDefault="00FE366C">
          <w:pPr>
            <w:pBdr>
              <w:top w:val="nil"/>
              <w:left w:val="nil"/>
              <w:bottom w:val="nil"/>
              <w:right w:val="nil"/>
              <w:between w:val="nil"/>
            </w:pBdr>
            <w:tabs>
              <w:tab w:val="center" w:pos="4680"/>
              <w:tab w:val="right" w:pos="9360"/>
            </w:tabs>
            <w:spacing w:after="0" w:line="240" w:lineRule="auto"/>
            <w:ind w:hanging="2"/>
            <w:rPr>
              <w:rFonts w:ascii="Cambria" w:eastAsia="Cambria" w:hAnsi="Cambria" w:cs="Cambria"/>
              <w:color w:val="4F81BD"/>
              <w:sz w:val="24"/>
              <w:szCs w:val="24"/>
            </w:rPr>
          </w:pPr>
          <w:r>
            <w:rPr>
              <w:rFonts w:ascii="Cambria" w:eastAsia="Cambria" w:hAnsi="Cambria" w:cs="Cambria"/>
              <w:b/>
              <w:bCs/>
              <w:color w:val="4F81BD"/>
              <w:sz w:val="24"/>
              <w:szCs w:val="24"/>
            </w:rPr>
            <w:t>No. 0</w:t>
          </w:r>
          <w:r w:rsidR="0068410C">
            <w:rPr>
              <w:rFonts w:ascii="Cambria" w:eastAsia="Cambria" w:hAnsi="Cambria" w:cs="Cambria"/>
              <w:b/>
              <w:bCs/>
              <w:color w:val="4F81BD"/>
              <w:sz w:val="24"/>
              <w:szCs w:val="24"/>
            </w:rPr>
            <w:t>2</w:t>
          </w:r>
        </w:p>
        <w:p w14:paraId="488D2B6E" w14:textId="5963B433" w:rsidR="004C4786" w:rsidRDefault="00FE366C">
          <w:pPr>
            <w:pBdr>
              <w:top w:val="nil"/>
              <w:left w:val="nil"/>
              <w:bottom w:val="nil"/>
              <w:right w:val="nil"/>
              <w:between w:val="nil"/>
            </w:pBdr>
            <w:tabs>
              <w:tab w:val="center" w:pos="4680"/>
              <w:tab w:val="right" w:pos="9360"/>
            </w:tabs>
            <w:spacing w:after="0" w:line="240" w:lineRule="auto"/>
            <w:ind w:hanging="2"/>
            <w:rPr>
              <w:rFonts w:ascii="Cambria" w:eastAsia="Cambria" w:hAnsi="Cambria" w:cs="Cambria"/>
              <w:color w:val="4F81BD"/>
              <w:sz w:val="36"/>
              <w:szCs w:val="36"/>
            </w:rPr>
          </w:pPr>
          <w:r>
            <w:rPr>
              <w:rFonts w:ascii="Cambria" w:eastAsia="Cambria" w:hAnsi="Cambria" w:cs="Cambria"/>
              <w:b/>
              <w:bCs/>
              <w:color w:val="4F81BD"/>
              <w:sz w:val="24"/>
              <w:szCs w:val="24"/>
            </w:rPr>
            <w:t>202</w:t>
          </w:r>
          <w:r w:rsidR="0068410C">
            <w:rPr>
              <w:rFonts w:ascii="Cambria" w:eastAsia="Cambria" w:hAnsi="Cambria" w:cs="Cambria"/>
              <w:b/>
              <w:bCs/>
              <w:color w:val="4F81BD"/>
              <w:sz w:val="24"/>
              <w:szCs w:val="24"/>
            </w:rPr>
            <w:t>6</w:t>
          </w:r>
        </w:p>
      </w:tc>
    </w:tr>
  </w:tbl>
  <w:p w14:paraId="1201C56D" w14:textId="77777777" w:rsidR="004C4786" w:rsidRDefault="004C4786">
    <w:pPr>
      <w:pBdr>
        <w:top w:val="nil"/>
        <w:left w:val="nil"/>
        <w:bottom w:val="nil"/>
        <w:right w:val="nil"/>
        <w:between w:val="nil"/>
      </w:pBdr>
      <w:tabs>
        <w:tab w:val="center" w:pos="4680"/>
        <w:tab w:val="right" w:pos="9360"/>
      </w:tabs>
      <w:spacing w:after="0" w:line="240" w:lineRule="auto"/>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9E0E" w14:textId="77777777" w:rsidR="004C4786" w:rsidRDefault="004C4786">
    <w:pPr>
      <w:pBdr>
        <w:top w:val="nil"/>
        <w:left w:val="nil"/>
        <w:bottom w:val="nil"/>
        <w:right w:val="nil"/>
        <w:between w:val="nil"/>
      </w:pBdr>
      <w:tabs>
        <w:tab w:val="center" w:pos="4680"/>
        <w:tab w:val="right" w:pos="9360"/>
      </w:tabs>
      <w:spacing w:after="0" w:line="240" w:lineRule="auto"/>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B3062"/>
    <w:multiLevelType w:val="multilevel"/>
    <w:tmpl w:val="9F645B14"/>
    <w:lvl w:ilvl="0">
      <w:start w:val="1"/>
      <w:numFmt w:val="upperLetter"/>
      <w:lvlText w:val="%1."/>
      <w:lvlJc w:val="left"/>
      <w:pPr>
        <w:ind w:left="720" w:hanging="360"/>
      </w:pPr>
      <w:rPr>
        <w:b/>
        <w:bCs/>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D394C1C"/>
    <w:multiLevelType w:val="hybridMultilevel"/>
    <w:tmpl w:val="9528884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BF306E3"/>
    <w:multiLevelType w:val="hybridMultilevel"/>
    <w:tmpl w:val="E8E2A91A"/>
    <w:lvl w:ilvl="0" w:tplc="151C484C">
      <w:start w:val="4"/>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963190513">
    <w:abstractNumId w:val="0"/>
  </w:num>
  <w:num w:numId="2" w16cid:durableId="89200152">
    <w:abstractNumId w:val="1"/>
  </w:num>
  <w:num w:numId="3" w16cid:durableId="1757940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86"/>
    <w:rsid w:val="000614E7"/>
    <w:rsid w:val="00090ECA"/>
    <w:rsid w:val="001166ED"/>
    <w:rsid w:val="001268F5"/>
    <w:rsid w:val="00147F01"/>
    <w:rsid w:val="002474FB"/>
    <w:rsid w:val="002602AF"/>
    <w:rsid w:val="00342E3A"/>
    <w:rsid w:val="003C56F2"/>
    <w:rsid w:val="004023AE"/>
    <w:rsid w:val="00416955"/>
    <w:rsid w:val="00445D0A"/>
    <w:rsid w:val="004C4786"/>
    <w:rsid w:val="0062115E"/>
    <w:rsid w:val="0068410C"/>
    <w:rsid w:val="007049ED"/>
    <w:rsid w:val="008B6F15"/>
    <w:rsid w:val="00926BE9"/>
    <w:rsid w:val="00960A2E"/>
    <w:rsid w:val="00962086"/>
    <w:rsid w:val="00A045E7"/>
    <w:rsid w:val="00A37139"/>
    <w:rsid w:val="00A44EF9"/>
    <w:rsid w:val="00AA6496"/>
    <w:rsid w:val="00AC0B09"/>
    <w:rsid w:val="00AD40E7"/>
    <w:rsid w:val="00B14165"/>
    <w:rsid w:val="00C06B78"/>
    <w:rsid w:val="00C43AEB"/>
    <w:rsid w:val="00DE307A"/>
    <w:rsid w:val="00E70D89"/>
    <w:rsid w:val="00FB13D5"/>
    <w:rsid w:val="00FE366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494EB"/>
  <w15:docId w15:val="{78E6F046-58F7-447F-8E7E-46D2807A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D"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416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fsirweb.com/1661-surat-an-nisa-ayat-129.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mailto:uminurulkhanif912@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ACDDC-9CF3-4DD6-B852-50E81D7D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15</Pages>
  <Words>4035</Words>
  <Characters>23003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dc:creator>
  <cp:lastModifiedBy>ATHIFATUL WAFIRAH</cp:lastModifiedBy>
  <cp:revision>16</cp:revision>
  <cp:lastPrinted>2026-08-02T18:58:00Z</cp:lastPrinted>
  <dcterms:created xsi:type="dcterms:W3CDTF">2026-06-17T12:41:00Z</dcterms:created>
  <dcterms:modified xsi:type="dcterms:W3CDTF">2026-08-21T06:24:00Z</dcterms:modified>
</cp:coreProperties>
</file>